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63EDD" w14:textId="77777777" w:rsidR="00EF5C87" w:rsidRDefault="00EF5C87" w:rsidP="00BE2891">
      <w:pPr>
        <w:jc w:val="center"/>
        <w:rPr>
          <w:rFonts w:ascii="Arial" w:hAnsi="Arial" w:cs="Arial"/>
          <w:b/>
          <w:sz w:val="28"/>
        </w:rPr>
      </w:pPr>
    </w:p>
    <w:p w14:paraId="212654D7" w14:textId="77777777" w:rsidR="00EF5C87" w:rsidRDefault="00EF5C87" w:rsidP="00BE2891">
      <w:pPr>
        <w:jc w:val="center"/>
        <w:rPr>
          <w:rFonts w:ascii="Arial" w:hAnsi="Arial" w:cs="Arial"/>
          <w:b/>
          <w:sz w:val="28"/>
        </w:rPr>
      </w:pPr>
    </w:p>
    <w:p w14:paraId="72210ADF" w14:textId="5AAACEB6" w:rsidR="00AA1B58" w:rsidRDefault="005F7C0B" w:rsidP="00BE2891">
      <w:pPr>
        <w:jc w:val="center"/>
        <w:rPr>
          <w:rFonts w:ascii="Arial" w:hAnsi="Arial" w:cs="Arial"/>
          <w:b/>
          <w:sz w:val="28"/>
        </w:rPr>
      </w:pPr>
      <w:proofErr w:type="spellStart"/>
      <w:r w:rsidRPr="00184B0E">
        <w:rPr>
          <w:rFonts w:ascii="Arial" w:hAnsi="Arial" w:cs="Arial"/>
          <w:b/>
          <w:sz w:val="28"/>
        </w:rPr>
        <w:t>Mindfulness</w:t>
      </w:r>
      <w:proofErr w:type="spellEnd"/>
      <w:r w:rsidRPr="00184B0E">
        <w:rPr>
          <w:rFonts w:ascii="Arial" w:hAnsi="Arial" w:cs="Arial"/>
          <w:b/>
          <w:sz w:val="28"/>
        </w:rPr>
        <w:t xml:space="preserve"> – </w:t>
      </w:r>
      <w:r w:rsidR="00AC147D" w:rsidRPr="00184B0E">
        <w:rPr>
          <w:rFonts w:ascii="Arial" w:hAnsi="Arial" w:cs="Arial"/>
          <w:b/>
          <w:sz w:val="28"/>
        </w:rPr>
        <w:t>Trastornos de Ansiedad</w:t>
      </w:r>
      <w:r w:rsidR="00614752">
        <w:rPr>
          <w:rFonts w:ascii="Arial" w:hAnsi="Arial" w:cs="Arial"/>
          <w:b/>
          <w:sz w:val="28"/>
        </w:rPr>
        <w:t xml:space="preserve"> en Trastornos del Espectro bipolar</w:t>
      </w:r>
      <w:bookmarkStart w:id="0" w:name="_GoBack"/>
      <w:bookmarkEnd w:id="0"/>
    </w:p>
    <w:p w14:paraId="45120C38" w14:textId="77777777" w:rsidR="00FA57A9" w:rsidRPr="00184B0E" w:rsidRDefault="00FA57A9" w:rsidP="00BE2891">
      <w:pPr>
        <w:jc w:val="center"/>
        <w:rPr>
          <w:rFonts w:ascii="Arial" w:hAnsi="Arial" w:cs="Arial"/>
          <w:b/>
          <w:sz w:val="28"/>
        </w:rPr>
      </w:pPr>
    </w:p>
    <w:p w14:paraId="20A9C008" w14:textId="77777777" w:rsidR="00B7710F" w:rsidRDefault="00B7710F">
      <w:pPr>
        <w:jc w:val="both"/>
        <w:rPr>
          <w:rFonts w:ascii="Arial" w:hAnsi="Arial" w:cs="Arial"/>
        </w:rPr>
      </w:pPr>
    </w:p>
    <w:p w14:paraId="1B5704D5" w14:textId="1E6B13B1" w:rsidR="00DA52B2" w:rsidRPr="00DA52B2" w:rsidRDefault="00DA52B2" w:rsidP="00DA52B2">
      <w:pPr>
        <w:jc w:val="both"/>
        <w:rPr>
          <w:rFonts w:ascii="Arial" w:hAnsi="Arial" w:cs="Arial"/>
        </w:rPr>
      </w:pPr>
      <w:r w:rsidRPr="00DA52B2">
        <w:rPr>
          <w:rFonts w:ascii="Arial" w:hAnsi="Arial" w:cs="Arial"/>
        </w:rPr>
        <w:t>El trastorno bipolar (BP) se define como episodios de estados de ánimo extremos; Manía (o hipomanía en BP-II) y depresión. Tiene una prevalencia de por vida de alrededor del 1%.</w:t>
      </w:r>
      <w:r w:rsidR="00071499">
        <w:rPr>
          <w:rFonts w:ascii="Arial" w:hAnsi="Arial" w:cs="Arial"/>
        </w:rPr>
        <w:t xml:space="preserve"> </w:t>
      </w:r>
      <w:r w:rsidRPr="00DA52B2">
        <w:rPr>
          <w:rFonts w:ascii="Arial" w:hAnsi="Arial" w:cs="Arial"/>
        </w:rPr>
        <w:t>El tratamiento médico es complejo y alrededor del 60% de los pacientes recaen dentro de los 2 años de remisión de un episodio depresivo mayor o maníaco.</w:t>
      </w:r>
      <w:r w:rsidR="00071499">
        <w:rPr>
          <w:rFonts w:ascii="Arial" w:hAnsi="Arial" w:cs="Arial"/>
        </w:rPr>
        <w:t xml:space="preserve"> </w:t>
      </w:r>
      <w:r w:rsidR="008942EC">
        <w:rPr>
          <w:rFonts w:ascii="Arial" w:hAnsi="Arial" w:cs="Arial"/>
        </w:rPr>
        <w:t>Por otro lado, l</w:t>
      </w:r>
      <w:r w:rsidRPr="00DA52B2">
        <w:rPr>
          <w:rFonts w:ascii="Arial" w:hAnsi="Arial" w:cs="Arial"/>
        </w:rPr>
        <w:t xml:space="preserve">a ansiedad </w:t>
      </w:r>
      <w:proofErr w:type="spellStart"/>
      <w:r w:rsidRPr="00DA52B2">
        <w:rPr>
          <w:rFonts w:ascii="Arial" w:hAnsi="Arial" w:cs="Arial"/>
        </w:rPr>
        <w:t>comórbida</w:t>
      </w:r>
      <w:proofErr w:type="spellEnd"/>
      <w:r w:rsidRPr="00DA52B2">
        <w:rPr>
          <w:rFonts w:ascii="Arial" w:hAnsi="Arial" w:cs="Arial"/>
        </w:rPr>
        <w:t xml:space="preserve"> puede ser debilitante en sí misma y la prevalencia dentro de BPSD es alta. La comorbilidad de por vida se estima entre 24% y 74,9%.</w:t>
      </w:r>
      <w:r w:rsidR="00071499">
        <w:rPr>
          <w:rFonts w:ascii="Arial" w:hAnsi="Arial" w:cs="Arial"/>
        </w:rPr>
        <w:t xml:space="preserve"> </w:t>
      </w:r>
      <w:r w:rsidRPr="00DA52B2">
        <w:rPr>
          <w:rFonts w:ascii="Arial" w:hAnsi="Arial" w:cs="Arial"/>
        </w:rPr>
        <w:t xml:space="preserve">Alrededor de un tercio de los pacientes BP-I y II reúnen los criterios para un trastorno de ansiedad, </w:t>
      </w:r>
      <w:r w:rsidR="008942EC">
        <w:rPr>
          <w:rFonts w:ascii="Arial" w:hAnsi="Arial" w:cs="Arial"/>
        </w:rPr>
        <w:t>siendo el más común</w:t>
      </w:r>
      <w:r w:rsidRPr="00DA52B2">
        <w:rPr>
          <w:rFonts w:ascii="Arial" w:hAnsi="Arial" w:cs="Arial"/>
        </w:rPr>
        <w:t xml:space="preserve"> la ansiedad social (22.0% de la vida, 12.7% actual).</w:t>
      </w:r>
    </w:p>
    <w:p w14:paraId="2B38B42C" w14:textId="3C939993" w:rsidR="00B7710F" w:rsidRDefault="00DA52B2" w:rsidP="00DA52B2">
      <w:pPr>
        <w:jc w:val="both"/>
        <w:rPr>
          <w:rFonts w:ascii="Arial" w:hAnsi="Arial" w:cs="Arial"/>
        </w:rPr>
      </w:pPr>
      <w:r w:rsidRPr="00DA52B2">
        <w:rPr>
          <w:rFonts w:ascii="Arial" w:hAnsi="Arial" w:cs="Arial"/>
        </w:rPr>
        <w:t>Para las personas con BPSD y an</w:t>
      </w:r>
      <w:r w:rsidR="008942EC">
        <w:rPr>
          <w:rFonts w:ascii="Arial" w:hAnsi="Arial" w:cs="Arial"/>
        </w:rPr>
        <w:t xml:space="preserve">siedad </w:t>
      </w:r>
      <w:proofErr w:type="spellStart"/>
      <w:r w:rsidR="008942EC">
        <w:rPr>
          <w:rFonts w:ascii="Arial" w:hAnsi="Arial" w:cs="Arial"/>
        </w:rPr>
        <w:t>comórbida</w:t>
      </w:r>
      <w:proofErr w:type="spellEnd"/>
      <w:r w:rsidR="008942EC">
        <w:rPr>
          <w:rFonts w:ascii="Arial" w:hAnsi="Arial" w:cs="Arial"/>
        </w:rPr>
        <w:t>, la guía</w:t>
      </w:r>
      <w:r w:rsidRPr="00DA52B2">
        <w:rPr>
          <w:rFonts w:ascii="Arial" w:hAnsi="Arial" w:cs="Arial"/>
        </w:rPr>
        <w:t xml:space="preserve"> actual recomienda "tratamiento en línea con la guía clínica NICE pertinente, además del tratamiento para el trastorno bipolar". Sin embargo, no existen protocolos establecidos para tratar la ansiedad en BPSD, y las personas con BPSD se excluyen rutinariamente de los estudios de tratamiento de la ansiedad</w:t>
      </w:r>
      <w:r w:rsidR="008942EC">
        <w:rPr>
          <w:rFonts w:ascii="Arial" w:hAnsi="Arial" w:cs="Arial"/>
        </w:rPr>
        <w:t>.</w:t>
      </w:r>
    </w:p>
    <w:p w14:paraId="54C8F609" w14:textId="77777777" w:rsidR="008942EC" w:rsidRDefault="008942EC" w:rsidP="00DA52B2">
      <w:pPr>
        <w:jc w:val="both"/>
        <w:rPr>
          <w:rFonts w:ascii="Arial" w:hAnsi="Arial" w:cs="Arial"/>
        </w:rPr>
      </w:pPr>
    </w:p>
    <w:p w14:paraId="60FABC7E" w14:textId="77777777" w:rsidR="00C47644" w:rsidRDefault="005F045C">
      <w:pPr>
        <w:jc w:val="both"/>
        <w:rPr>
          <w:rFonts w:ascii="Arial" w:hAnsi="Arial" w:cs="Arial"/>
        </w:rPr>
      </w:pPr>
      <w:r w:rsidRPr="005F045C">
        <w:rPr>
          <w:rFonts w:ascii="Arial" w:hAnsi="Arial" w:cs="Arial"/>
        </w:rPr>
        <w:t>Esta revisión tiene como objetivo identificar, sintetizar y evaluar críticamente la investigación sobre el tratamiento psicológico de la ansiedad dentro de BPSD. La reciente inclusión del especificador de angustia ansiosa en DSM-5 pone de relieve un mayor reconocimiento del problema planteado por la ansiedad en BPSD.</w:t>
      </w:r>
      <w:r>
        <w:rPr>
          <w:rFonts w:ascii="Arial" w:hAnsi="Arial" w:cs="Arial"/>
        </w:rPr>
        <w:t xml:space="preserve"> La</w:t>
      </w:r>
      <w:r w:rsidR="00CE1816" w:rsidRPr="00CE1816">
        <w:rPr>
          <w:rFonts w:ascii="Arial" w:hAnsi="Arial" w:cs="Arial"/>
        </w:rPr>
        <w:t xml:space="preserve"> búsqueda sistemática produjo 22 estudios de tratamiento que incluyeron una medida de resultado relacionada con la ansiedad. </w:t>
      </w:r>
    </w:p>
    <w:p w14:paraId="32C33070" w14:textId="77777777" w:rsidR="00C47644" w:rsidRDefault="00C47644">
      <w:pPr>
        <w:jc w:val="both"/>
        <w:rPr>
          <w:rFonts w:ascii="Arial" w:hAnsi="Arial" w:cs="Arial"/>
        </w:rPr>
      </w:pPr>
    </w:p>
    <w:p w14:paraId="1D9EFFD0" w14:textId="2652CC7D" w:rsidR="0009448D" w:rsidRDefault="00C731BD">
      <w:pPr>
        <w:jc w:val="both"/>
        <w:rPr>
          <w:rFonts w:ascii="Arial" w:hAnsi="Arial" w:cs="Arial"/>
        </w:rPr>
      </w:pPr>
      <w:r w:rsidRPr="00C731BD">
        <w:rPr>
          <w:rFonts w:ascii="Arial" w:hAnsi="Arial" w:cs="Arial"/>
        </w:rPr>
        <w:t>No</w:t>
      </w:r>
      <w:r w:rsidR="00C47644">
        <w:rPr>
          <w:rFonts w:ascii="Arial" w:hAnsi="Arial" w:cs="Arial"/>
        </w:rPr>
        <w:t xml:space="preserve"> se halló evidencia en </w:t>
      </w:r>
      <w:r w:rsidRPr="00C731BD">
        <w:rPr>
          <w:rFonts w:ascii="Arial" w:hAnsi="Arial" w:cs="Arial"/>
        </w:rPr>
        <w:t xml:space="preserve">los estudios revisados aquí que la </w:t>
      </w:r>
      <w:proofErr w:type="spellStart"/>
      <w:r w:rsidRPr="00C731BD">
        <w:rPr>
          <w:rFonts w:ascii="Arial" w:hAnsi="Arial" w:cs="Arial"/>
        </w:rPr>
        <w:t>psicoeducación</w:t>
      </w:r>
      <w:proofErr w:type="spellEnd"/>
      <w:r w:rsidRPr="00C731BD">
        <w:rPr>
          <w:rFonts w:ascii="Arial" w:hAnsi="Arial" w:cs="Arial"/>
        </w:rPr>
        <w:t xml:space="preserve"> por sí sola reduce la ansiedad en BPSD. La TCC individual para la ciclotimia pareció reducir la ansiedad en un diseño de un solo caso y merece más investigación. Un ECA encontró que la CBT individual para BP-I y II que incluía miembros de la familia redujo significativamente las puntuaciones de ansiedad. Los resultados de los estudios no controlados y / o no aleatorizados hallan en el mejor de los casos resultados modestos para la TCC de grupo para BPSD. El subgrupo de pacientes BPSD en un ECA de MBCT no mostró una reducción significativa en los síntomas de ansiedad después de MBCT, pero no mostró el aumento de la ansiedad en los pacientes BPSD en el brazo TAU.</w:t>
      </w:r>
    </w:p>
    <w:p w14:paraId="34672F09" w14:textId="77777777" w:rsidR="00C731BD" w:rsidRDefault="00C731BD">
      <w:pPr>
        <w:jc w:val="both"/>
        <w:rPr>
          <w:rFonts w:ascii="Arial" w:hAnsi="Arial" w:cs="Arial"/>
        </w:rPr>
      </w:pPr>
    </w:p>
    <w:p w14:paraId="7584394B" w14:textId="77777777" w:rsidR="00C731BD" w:rsidRDefault="00C731BD">
      <w:pPr>
        <w:jc w:val="both"/>
        <w:rPr>
          <w:rFonts w:ascii="Arial" w:hAnsi="Arial" w:cs="Arial"/>
        </w:rPr>
      </w:pPr>
    </w:p>
    <w:p w14:paraId="77C88DB9" w14:textId="77777777" w:rsidR="0009448D" w:rsidRDefault="0009448D">
      <w:pPr>
        <w:jc w:val="both"/>
        <w:rPr>
          <w:rFonts w:ascii="Arial" w:hAnsi="Arial" w:cs="Arial"/>
        </w:rPr>
      </w:pPr>
    </w:p>
    <w:p w14:paraId="606BA545" w14:textId="77777777" w:rsidR="00FA57A9" w:rsidRDefault="00FA57A9">
      <w:pPr>
        <w:jc w:val="both"/>
        <w:rPr>
          <w:rFonts w:ascii="Arial" w:hAnsi="Arial" w:cs="Arial"/>
        </w:rPr>
      </w:pPr>
    </w:p>
    <w:p w14:paraId="63F1F721" w14:textId="77777777" w:rsidR="0009448D" w:rsidRDefault="0009448D">
      <w:pPr>
        <w:jc w:val="both"/>
        <w:rPr>
          <w:rFonts w:ascii="Arial" w:hAnsi="Arial" w:cs="Arial"/>
        </w:rPr>
      </w:pPr>
    </w:p>
    <w:p w14:paraId="5E864FDC" w14:textId="77777777" w:rsidR="00614752" w:rsidRDefault="00614752">
      <w:pPr>
        <w:jc w:val="both"/>
        <w:rPr>
          <w:rFonts w:ascii="Arial" w:hAnsi="Arial" w:cs="Arial"/>
        </w:rPr>
      </w:pPr>
    </w:p>
    <w:p w14:paraId="61B29B76" w14:textId="77777777" w:rsidR="00614752" w:rsidRDefault="00614752">
      <w:pPr>
        <w:jc w:val="both"/>
        <w:rPr>
          <w:rFonts w:ascii="Arial" w:hAnsi="Arial" w:cs="Arial"/>
        </w:rPr>
      </w:pPr>
    </w:p>
    <w:p w14:paraId="1C02F754" w14:textId="77777777" w:rsidR="00614752" w:rsidRDefault="00614752">
      <w:pPr>
        <w:jc w:val="both"/>
        <w:rPr>
          <w:rFonts w:ascii="Arial" w:hAnsi="Arial" w:cs="Arial"/>
        </w:rPr>
      </w:pPr>
    </w:p>
    <w:p w14:paraId="38D715DA" w14:textId="77777777" w:rsidR="00614752" w:rsidRDefault="00614752">
      <w:pPr>
        <w:jc w:val="both"/>
        <w:rPr>
          <w:rFonts w:ascii="Arial" w:hAnsi="Arial" w:cs="Arial"/>
        </w:rPr>
      </w:pPr>
    </w:p>
    <w:p w14:paraId="2E6E18D9" w14:textId="77777777" w:rsidR="00614752" w:rsidRDefault="00614752">
      <w:pPr>
        <w:jc w:val="both"/>
        <w:rPr>
          <w:rFonts w:ascii="Arial" w:hAnsi="Arial" w:cs="Arial"/>
        </w:rPr>
      </w:pPr>
    </w:p>
    <w:p w14:paraId="54A28FD1" w14:textId="77777777" w:rsidR="0009448D" w:rsidRPr="00184B0E" w:rsidRDefault="0009448D">
      <w:pPr>
        <w:jc w:val="both"/>
        <w:rPr>
          <w:rFonts w:ascii="Arial" w:hAnsi="Arial" w:cs="Arial"/>
        </w:rPr>
      </w:pPr>
    </w:p>
    <w:p w14:paraId="7B74352A" w14:textId="77777777" w:rsidR="0009448D" w:rsidRDefault="0009448D" w:rsidP="0009448D">
      <w:pPr>
        <w:jc w:val="center"/>
        <w:rPr>
          <w:rFonts w:ascii="Arial" w:hAnsi="Arial" w:cs="Arial"/>
          <w:b/>
          <w:sz w:val="28"/>
          <w:lang w:val="en-US"/>
        </w:rPr>
      </w:pPr>
      <w:r w:rsidRPr="0009448D">
        <w:rPr>
          <w:rFonts w:ascii="Arial" w:hAnsi="Arial" w:cs="Arial"/>
          <w:b/>
          <w:sz w:val="28"/>
          <w:lang w:val="en-US"/>
        </w:rPr>
        <w:t>ABSTRACT</w:t>
      </w:r>
    </w:p>
    <w:p w14:paraId="34289035" w14:textId="77777777" w:rsidR="0009448D" w:rsidRPr="0009448D" w:rsidRDefault="0009448D" w:rsidP="0009448D">
      <w:pPr>
        <w:jc w:val="center"/>
        <w:rPr>
          <w:rFonts w:ascii="Arial" w:hAnsi="Arial" w:cs="Arial"/>
          <w:b/>
          <w:sz w:val="28"/>
          <w:lang w:val="en-US"/>
        </w:rPr>
      </w:pPr>
    </w:p>
    <w:p w14:paraId="3D4DA49C" w14:textId="281D4732" w:rsidR="006A0876" w:rsidRPr="006A0876" w:rsidRDefault="006A0876" w:rsidP="006A0876">
      <w:pPr>
        <w:jc w:val="both"/>
        <w:rPr>
          <w:rFonts w:eastAsia="Times New Roman"/>
          <w:sz w:val="22"/>
          <w:szCs w:val="22"/>
          <w:lang w:val="en-US"/>
        </w:rPr>
      </w:pPr>
      <w:r w:rsidRPr="006A0876">
        <w:rPr>
          <w:rFonts w:ascii="Arial" w:eastAsia="Times New Roman" w:hAnsi="Arial" w:cs="Arial"/>
          <w:color w:val="000000"/>
          <w:sz w:val="22"/>
          <w:szCs w:val="22"/>
          <w:shd w:val="clear" w:color="auto" w:fill="FFFFFF"/>
          <w:lang w:val="en-US"/>
        </w:rPr>
        <w:t>Comorbid anxiety is common in bipolar spectrum disorders [BPSD], and is associated with poor outcomes. Its clinical relevance is highlighted by the "anxious distress specifier" in the revised criteria for Bipolar Disorders in the Diagnostic and Statistical Manual 5th Edition [DSM-5]. This article reviews evidence for the effectiveness of psychological</w:t>
      </w:r>
      <w:r w:rsidRPr="006A0876">
        <w:rPr>
          <w:rStyle w:val="apple-converted-space"/>
          <w:rFonts w:ascii="Arial" w:eastAsia="Times New Roman" w:hAnsi="Arial" w:cs="Arial"/>
          <w:color w:val="000000"/>
          <w:sz w:val="22"/>
          <w:szCs w:val="22"/>
          <w:shd w:val="clear" w:color="auto" w:fill="FFFFFF"/>
          <w:lang w:val="en-US"/>
        </w:rPr>
        <w:t> </w:t>
      </w:r>
      <w:r w:rsidRPr="006A0876">
        <w:rPr>
          <w:rStyle w:val="highlight"/>
          <w:rFonts w:ascii="Arial" w:eastAsia="Times New Roman" w:hAnsi="Arial" w:cs="Arial"/>
          <w:color w:val="000000"/>
          <w:sz w:val="22"/>
          <w:szCs w:val="22"/>
          <w:lang w:val="en-US"/>
        </w:rPr>
        <w:t>therapy</w:t>
      </w:r>
      <w:r w:rsidRPr="006A0876">
        <w:rPr>
          <w:rStyle w:val="apple-converted-space"/>
          <w:rFonts w:ascii="Arial" w:eastAsia="Times New Roman" w:hAnsi="Arial" w:cs="Arial"/>
          <w:color w:val="000000"/>
          <w:sz w:val="22"/>
          <w:szCs w:val="22"/>
          <w:shd w:val="clear" w:color="auto" w:fill="FFFFFF"/>
          <w:lang w:val="en-US"/>
        </w:rPr>
        <w:t> </w:t>
      </w:r>
      <w:r w:rsidRPr="006A0876">
        <w:rPr>
          <w:rFonts w:ascii="Arial" w:eastAsia="Times New Roman" w:hAnsi="Arial" w:cs="Arial"/>
          <w:color w:val="000000"/>
          <w:sz w:val="22"/>
          <w:szCs w:val="22"/>
          <w:shd w:val="clear" w:color="auto" w:fill="FFFFFF"/>
          <w:lang w:val="en-US"/>
        </w:rPr>
        <w:t xml:space="preserve">for anxiety in adults with BPSD (bipolar I, II, not otherwise specified, </w:t>
      </w:r>
      <w:proofErr w:type="spellStart"/>
      <w:r w:rsidRPr="006A0876">
        <w:rPr>
          <w:rFonts w:ascii="Arial" w:eastAsia="Times New Roman" w:hAnsi="Arial" w:cs="Arial"/>
          <w:color w:val="000000"/>
          <w:sz w:val="22"/>
          <w:szCs w:val="22"/>
          <w:shd w:val="clear" w:color="auto" w:fill="FFFFFF"/>
          <w:lang w:val="en-US"/>
        </w:rPr>
        <w:t>cyclothymia</w:t>
      </w:r>
      <w:proofErr w:type="spellEnd"/>
      <w:r w:rsidRPr="006A0876">
        <w:rPr>
          <w:rFonts w:ascii="Arial" w:eastAsia="Times New Roman" w:hAnsi="Arial" w:cs="Arial"/>
          <w:color w:val="000000"/>
          <w:sz w:val="22"/>
          <w:szCs w:val="22"/>
          <w:shd w:val="clear" w:color="auto" w:fill="FFFFFF"/>
          <w:lang w:val="en-US"/>
        </w:rPr>
        <w:t>, and rapid cycling disorders). A systematic search yielded 22 treatment</w:t>
      </w:r>
      <w:r w:rsidRPr="006A0876">
        <w:rPr>
          <w:rStyle w:val="apple-converted-space"/>
          <w:rFonts w:ascii="Arial" w:eastAsia="Times New Roman" w:hAnsi="Arial" w:cs="Arial"/>
          <w:color w:val="000000"/>
          <w:sz w:val="22"/>
          <w:szCs w:val="22"/>
          <w:shd w:val="clear" w:color="auto" w:fill="FFFFFF"/>
          <w:lang w:val="en-US"/>
        </w:rPr>
        <w:t> </w:t>
      </w:r>
      <w:r w:rsidRPr="006A0876">
        <w:rPr>
          <w:rStyle w:val="highlight"/>
          <w:rFonts w:ascii="Arial" w:eastAsia="Times New Roman" w:hAnsi="Arial" w:cs="Arial"/>
          <w:color w:val="000000"/>
          <w:sz w:val="22"/>
          <w:szCs w:val="22"/>
          <w:lang w:val="en-US"/>
        </w:rPr>
        <w:t>studies</w:t>
      </w:r>
      <w:r w:rsidRPr="006A0876">
        <w:rPr>
          <w:rStyle w:val="apple-converted-space"/>
          <w:rFonts w:ascii="Arial" w:eastAsia="Times New Roman" w:hAnsi="Arial" w:cs="Arial"/>
          <w:color w:val="000000"/>
          <w:sz w:val="22"/>
          <w:szCs w:val="22"/>
          <w:shd w:val="clear" w:color="auto" w:fill="FFFFFF"/>
          <w:lang w:val="en-US"/>
        </w:rPr>
        <w:t> </w:t>
      </w:r>
      <w:r w:rsidRPr="006A0876">
        <w:rPr>
          <w:rFonts w:ascii="Arial" w:eastAsia="Times New Roman" w:hAnsi="Arial" w:cs="Arial"/>
          <w:color w:val="000000"/>
          <w:sz w:val="22"/>
          <w:szCs w:val="22"/>
          <w:shd w:val="clear" w:color="auto" w:fill="FFFFFF"/>
          <w:lang w:val="en-US"/>
        </w:rPr>
        <w:t>that included an anxiety-related outcome</w:t>
      </w:r>
      <w:r>
        <w:rPr>
          <w:rFonts w:ascii="Arial" w:eastAsia="Times New Roman" w:hAnsi="Arial" w:cs="Arial"/>
          <w:color w:val="000000"/>
          <w:sz w:val="22"/>
          <w:szCs w:val="22"/>
          <w:shd w:val="clear" w:color="auto" w:fill="FFFFFF"/>
          <w:lang w:val="en-US"/>
        </w:rPr>
        <w:t xml:space="preserve"> </w:t>
      </w:r>
      <w:r w:rsidRPr="006A0876">
        <w:rPr>
          <w:rFonts w:ascii="Arial" w:eastAsia="Times New Roman" w:hAnsi="Arial" w:cs="Arial"/>
          <w:color w:val="000000"/>
          <w:sz w:val="22"/>
          <w:szCs w:val="22"/>
          <w:shd w:val="clear" w:color="auto" w:fill="FFFFFF"/>
          <w:lang w:val="en-US"/>
        </w:rPr>
        <w:t>measure.</w:t>
      </w:r>
      <w:r w:rsidRPr="006A0876">
        <w:rPr>
          <w:rStyle w:val="apple-converted-space"/>
          <w:rFonts w:ascii="Arial" w:eastAsia="Times New Roman" w:hAnsi="Arial" w:cs="Arial"/>
          <w:color w:val="000000"/>
          <w:sz w:val="22"/>
          <w:szCs w:val="22"/>
          <w:shd w:val="clear" w:color="auto" w:fill="FFFFFF"/>
          <w:lang w:val="en-US"/>
        </w:rPr>
        <w:t> </w:t>
      </w:r>
      <w:r w:rsidRPr="006A0876">
        <w:rPr>
          <w:rStyle w:val="highlight"/>
          <w:rFonts w:ascii="Arial" w:eastAsia="Times New Roman" w:hAnsi="Arial" w:cs="Arial"/>
          <w:color w:val="000000"/>
          <w:sz w:val="22"/>
          <w:szCs w:val="22"/>
          <w:lang w:val="en-US"/>
        </w:rPr>
        <w:t>Cognitive</w:t>
      </w:r>
      <w:r w:rsidRPr="006A0876">
        <w:rPr>
          <w:rStyle w:val="apple-converted-space"/>
          <w:rFonts w:ascii="Arial" w:eastAsia="Times New Roman" w:hAnsi="Arial" w:cs="Arial"/>
          <w:color w:val="000000"/>
          <w:sz w:val="22"/>
          <w:szCs w:val="22"/>
          <w:shd w:val="clear" w:color="auto" w:fill="FFFFFF"/>
          <w:lang w:val="en-US"/>
        </w:rPr>
        <w:t> </w:t>
      </w:r>
      <w:proofErr w:type="spellStart"/>
      <w:r w:rsidRPr="006A0876">
        <w:rPr>
          <w:rFonts w:ascii="Arial" w:eastAsia="Times New Roman" w:hAnsi="Arial" w:cs="Arial"/>
          <w:color w:val="000000"/>
          <w:sz w:val="22"/>
          <w:szCs w:val="22"/>
          <w:shd w:val="clear" w:color="auto" w:fill="FFFFFF"/>
          <w:lang w:val="en-US"/>
        </w:rPr>
        <w:t>behavioural</w:t>
      </w:r>
      <w:proofErr w:type="spellEnd"/>
      <w:r w:rsidRPr="006A0876">
        <w:rPr>
          <w:rStyle w:val="apple-converted-space"/>
          <w:rFonts w:ascii="Arial" w:eastAsia="Times New Roman" w:hAnsi="Arial" w:cs="Arial"/>
          <w:color w:val="000000"/>
          <w:sz w:val="22"/>
          <w:szCs w:val="22"/>
          <w:shd w:val="clear" w:color="auto" w:fill="FFFFFF"/>
          <w:lang w:val="en-US"/>
        </w:rPr>
        <w:t> </w:t>
      </w:r>
      <w:r w:rsidRPr="006A0876">
        <w:rPr>
          <w:rStyle w:val="highlight"/>
          <w:rFonts w:ascii="Arial" w:eastAsia="Times New Roman" w:hAnsi="Arial" w:cs="Arial"/>
          <w:color w:val="000000"/>
          <w:sz w:val="22"/>
          <w:szCs w:val="22"/>
          <w:lang w:val="en-US"/>
        </w:rPr>
        <w:t>therapy</w:t>
      </w:r>
      <w:r w:rsidRPr="006A0876">
        <w:rPr>
          <w:rStyle w:val="apple-converted-space"/>
          <w:rFonts w:ascii="Arial" w:eastAsia="Times New Roman" w:hAnsi="Arial" w:cs="Arial"/>
          <w:color w:val="000000"/>
          <w:sz w:val="22"/>
          <w:szCs w:val="22"/>
          <w:shd w:val="clear" w:color="auto" w:fill="FFFFFF"/>
          <w:lang w:val="en-US"/>
        </w:rPr>
        <w:t> </w:t>
      </w:r>
      <w:r w:rsidRPr="006A0876">
        <w:rPr>
          <w:rFonts w:ascii="Arial" w:eastAsia="Times New Roman" w:hAnsi="Arial" w:cs="Arial"/>
          <w:color w:val="000000"/>
          <w:sz w:val="22"/>
          <w:szCs w:val="22"/>
          <w:shd w:val="clear" w:color="auto" w:fill="FFFFFF"/>
          <w:lang w:val="en-US"/>
        </w:rPr>
        <w:t xml:space="preserve">[CBT] for BPSD incorporating an anxiety component reduces anxiety symptoms in </w:t>
      </w:r>
      <w:proofErr w:type="spellStart"/>
      <w:r w:rsidRPr="006A0876">
        <w:rPr>
          <w:rFonts w:ascii="Arial" w:eastAsia="Times New Roman" w:hAnsi="Arial" w:cs="Arial"/>
          <w:color w:val="000000"/>
          <w:sz w:val="22"/>
          <w:szCs w:val="22"/>
          <w:shd w:val="clear" w:color="auto" w:fill="FFFFFF"/>
          <w:lang w:val="en-US"/>
        </w:rPr>
        <w:t>cyclothymia</w:t>
      </w:r>
      <w:proofErr w:type="spellEnd"/>
      <w:r w:rsidRPr="006A0876">
        <w:rPr>
          <w:rFonts w:ascii="Arial" w:eastAsia="Times New Roman" w:hAnsi="Arial" w:cs="Arial"/>
          <w:color w:val="000000"/>
          <w:sz w:val="22"/>
          <w:szCs w:val="22"/>
          <w:shd w:val="clear" w:color="auto" w:fill="FFFFFF"/>
          <w:lang w:val="en-US"/>
        </w:rPr>
        <w:t>, "refractory" and rapid cycling BPSD, whereas standard bipolar treatments have only a modest effect on anxiety. Preliminary evidence is promising for CBT for post-traumatic</w:t>
      </w:r>
      <w:r w:rsidRPr="006A0876">
        <w:rPr>
          <w:rStyle w:val="apple-converted-space"/>
          <w:rFonts w:ascii="Arial" w:eastAsia="Times New Roman" w:hAnsi="Arial" w:cs="Arial"/>
          <w:color w:val="000000"/>
          <w:sz w:val="22"/>
          <w:szCs w:val="22"/>
          <w:shd w:val="clear" w:color="auto" w:fill="FFFFFF"/>
          <w:lang w:val="en-US"/>
        </w:rPr>
        <w:t> </w:t>
      </w:r>
      <w:r w:rsidRPr="006A0876">
        <w:rPr>
          <w:rStyle w:val="highlight"/>
          <w:rFonts w:ascii="Arial" w:eastAsia="Times New Roman" w:hAnsi="Arial" w:cs="Arial"/>
          <w:color w:val="000000"/>
          <w:sz w:val="22"/>
          <w:szCs w:val="22"/>
          <w:lang w:val="en-US"/>
        </w:rPr>
        <w:t>stress</w:t>
      </w:r>
      <w:r w:rsidRPr="006A0876">
        <w:rPr>
          <w:rStyle w:val="apple-converted-space"/>
          <w:rFonts w:ascii="Arial" w:eastAsia="Times New Roman" w:hAnsi="Arial" w:cs="Arial"/>
          <w:color w:val="000000"/>
          <w:sz w:val="22"/>
          <w:szCs w:val="22"/>
          <w:shd w:val="clear" w:color="auto" w:fill="FFFFFF"/>
          <w:lang w:val="en-US"/>
        </w:rPr>
        <w:t> </w:t>
      </w:r>
      <w:r w:rsidRPr="006A0876">
        <w:rPr>
          <w:rFonts w:ascii="Arial" w:eastAsia="Times New Roman" w:hAnsi="Arial" w:cs="Arial"/>
          <w:color w:val="000000"/>
          <w:sz w:val="22"/>
          <w:szCs w:val="22"/>
          <w:shd w:val="clear" w:color="auto" w:fill="FFFFFF"/>
          <w:lang w:val="en-US"/>
        </w:rPr>
        <w:t xml:space="preserve">disorder and </w:t>
      </w:r>
      <w:proofErr w:type="spellStart"/>
      <w:r w:rsidRPr="006A0876">
        <w:rPr>
          <w:rFonts w:ascii="Arial" w:eastAsia="Times New Roman" w:hAnsi="Arial" w:cs="Arial"/>
          <w:color w:val="000000"/>
          <w:sz w:val="22"/>
          <w:szCs w:val="22"/>
          <w:shd w:val="clear" w:color="auto" w:fill="FFFFFF"/>
          <w:lang w:val="en-US"/>
        </w:rPr>
        <w:t>generalised</w:t>
      </w:r>
      <w:proofErr w:type="spellEnd"/>
      <w:r w:rsidRPr="006A0876">
        <w:rPr>
          <w:rFonts w:ascii="Arial" w:eastAsia="Times New Roman" w:hAnsi="Arial" w:cs="Arial"/>
          <w:color w:val="000000"/>
          <w:sz w:val="22"/>
          <w:szCs w:val="22"/>
          <w:shd w:val="clear" w:color="auto" w:fill="FFFFFF"/>
          <w:lang w:val="en-US"/>
        </w:rPr>
        <w:t xml:space="preserve"> anxiety disorder in BPSD. Psychoeducation alone does not appear to reduce anxiety, and data for</w:t>
      </w:r>
      <w:r w:rsidRPr="006A0876">
        <w:rPr>
          <w:rStyle w:val="apple-converted-space"/>
          <w:rFonts w:ascii="Arial" w:eastAsia="Times New Roman" w:hAnsi="Arial" w:cs="Arial"/>
          <w:color w:val="000000"/>
          <w:sz w:val="22"/>
          <w:szCs w:val="22"/>
          <w:shd w:val="clear" w:color="auto" w:fill="FFFFFF"/>
          <w:lang w:val="en-US"/>
        </w:rPr>
        <w:t> </w:t>
      </w:r>
      <w:r w:rsidRPr="006A0876">
        <w:rPr>
          <w:rStyle w:val="highlight"/>
          <w:rFonts w:ascii="Arial" w:eastAsia="Times New Roman" w:hAnsi="Arial" w:cs="Arial"/>
          <w:color w:val="000000"/>
          <w:sz w:val="22"/>
          <w:szCs w:val="22"/>
          <w:lang w:val="en-US"/>
        </w:rPr>
        <w:t>mindfulness-based</w:t>
      </w:r>
      <w:r w:rsidRPr="006A0876">
        <w:rPr>
          <w:rStyle w:val="apple-converted-space"/>
          <w:rFonts w:ascii="Arial" w:eastAsia="Times New Roman" w:hAnsi="Arial" w:cs="Arial"/>
          <w:color w:val="000000"/>
          <w:sz w:val="22"/>
          <w:szCs w:val="22"/>
          <w:shd w:val="clear" w:color="auto" w:fill="FFFFFF"/>
          <w:lang w:val="en-US"/>
        </w:rPr>
        <w:t> </w:t>
      </w:r>
      <w:r w:rsidRPr="006A0876">
        <w:rPr>
          <w:rStyle w:val="highlight"/>
          <w:rFonts w:ascii="Arial" w:eastAsia="Times New Roman" w:hAnsi="Arial" w:cs="Arial"/>
          <w:color w:val="000000"/>
          <w:sz w:val="22"/>
          <w:szCs w:val="22"/>
          <w:lang w:val="en-US"/>
        </w:rPr>
        <w:t>cognitive therapy</w:t>
      </w:r>
      <w:r w:rsidRPr="006A0876">
        <w:rPr>
          <w:rStyle w:val="apple-converted-space"/>
          <w:rFonts w:ascii="Arial" w:eastAsia="Times New Roman" w:hAnsi="Arial" w:cs="Arial"/>
          <w:color w:val="000000"/>
          <w:sz w:val="22"/>
          <w:szCs w:val="22"/>
          <w:shd w:val="clear" w:color="auto" w:fill="FFFFFF"/>
          <w:lang w:val="en-US"/>
        </w:rPr>
        <w:t> </w:t>
      </w:r>
      <w:r w:rsidRPr="006A0876">
        <w:rPr>
          <w:rFonts w:ascii="Arial" w:eastAsia="Times New Roman" w:hAnsi="Arial" w:cs="Arial"/>
          <w:color w:val="000000"/>
          <w:sz w:val="22"/>
          <w:szCs w:val="22"/>
          <w:shd w:val="clear" w:color="auto" w:fill="FFFFFF"/>
          <w:lang w:val="en-US"/>
        </w:rPr>
        <w:t>[MBCT] appear equivocal. CBT during euthymic phases has the greatest weight of evidence. Where reported, psychological</w:t>
      </w:r>
      <w:r w:rsidRPr="006A0876">
        <w:rPr>
          <w:rStyle w:val="apple-converted-space"/>
          <w:rFonts w:ascii="Arial" w:eastAsia="Times New Roman" w:hAnsi="Arial" w:cs="Arial"/>
          <w:color w:val="000000"/>
          <w:sz w:val="22"/>
          <w:szCs w:val="22"/>
          <w:shd w:val="clear" w:color="auto" w:fill="FFFFFF"/>
          <w:lang w:val="en-US"/>
        </w:rPr>
        <w:t> </w:t>
      </w:r>
      <w:r w:rsidRPr="006A0876">
        <w:rPr>
          <w:rStyle w:val="highlight"/>
          <w:rFonts w:ascii="Arial" w:eastAsia="Times New Roman" w:hAnsi="Arial" w:cs="Arial"/>
          <w:color w:val="000000"/>
          <w:sz w:val="22"/>
          <w:szCs w:val="22"/>
          <w:lang w:val="en-US"/>
        </w:rPr>
        <w:t>therapy</w:t>
      </w:r>
      <w:r w:rsidRPr="006A0876">
        <w:rPr>
          <w:rStyle w:val="apple-converted-space"/>
          <w:rFonts w:ascii="Arial" w:eastAsia="Times New Roman" w:hAnsi="Arial" w:cs="Arial"/>
          <w:color w:val="000000"/>
          <w:sz w:val="22"/>
          <w:szCs w:val="22"/>
          <w:shd w:val="clear" w:color="auto" w:fill="FFFFFF"/>
          <w:lang w:val="en-US"/>
        </w:rPr>
        <w:t> </w:t>
      </w:r>
      <w:r w:rsidRPr="006A0876">
        <w:rPr>
          <w:rFonts w:ascii="Arial" w:eastAsia="Times New Roman" w:hAnsi="Arial" w:cs="Arial"/>
          <w:color w:val="000000"/>
          <w:sz w:val="22"/>
          <w:szCs w:val="22"/>
          <w:shd w:val="clear" w:color="auto" w:fill="FFFFFF"/>
          <w:lang w:val="en-US"/>
        </w:rPr>
        <w:t>appears acceptable and safe, but more systematic collection and reporting of safety and acceptability information is needed. Development of psychological models and treatment protocols for anxiety in BPSD may help</w:t>
      </w:r>
      <w:r w:rsidRPr="006A0876">
        <w:rPr>
          <w:rStyle w:val="apple-converted-space"/>
          <w:rFonts w:ascii="Arial" w:eastAsia="Times New Roman" w:hAnsi="Arial" w:cs="Arial"/>
          <w:color w:val="000000"/>
          <w:sz w:val="22"/>
          <w:szCs w:val="22"/>
          <w:shd w:val="clear" w:color="auto" w:fill="FFFFFF"/>
          <w:lang w:val="en-US"/>
        </w:rPr>
        <w:t> </w:t>
      </w:r>
      <w:r w:rsidRPr="006A0876">
        <w:rPr>
          <w:rStyle w:val="highlight"/>
          <w:rFonts w:ascii="Arial" w:eastAsia="Times New Roman" w:hAnsi="Arial" w:cs="Arial"/>
          <w:color w:val="000000"/>
          <w:sz w:val="22"/>
          <w:szCs w:val="22"/>
          <w:lang w:val="en-US"/>
        </w:rPr>
        <w:t>improve</w:t>
      </w:r>
      <w:r w:rsidRPr="006A0876">
        <w:rPr>
          <w:rStyle w:val="apple-converted-space"/>
          <w:rFonts w:ascii="Arial" w:eastAsia="Times New Roman" w:hAnsi="Arial" w:cs="Arial"/>
          <w:color w:val="000000"/>
          <w:sz w:val="22"/>
          <w:szCs w:val="22"/>
          <w:shd w:val="clear" w:color="auto" w:fill="FFFFFF"/>
          <w:lang w:val="en-US"/>
        </w:rPr>
        <w:t> </w:t>
      </w:r>
      <w:r w:rsidRPr="006A0876">
        <w:rPr>
          <w:rFonts w:ascii="Arial" w:eastAsia="Times New Roman" w:hAnsi="Arial" w:cs="Arial"/>
          <w:color w:val="000000"/>
          <w:sz w:val="22"/>
          <w:szCs w:val="22"/>
          <w:shd w:val="clear" w:color="auto" w:fill="FFFFFF"/>
          <w:lang w:val="en-US"/>
        </w:rPr>
        <w:t>outcomes.</w:t>
      </w:r>
    </w:p>
    <w:p w14:paraId="5D2B81ED" w14:textId="77777777" w:rsidR="0009448D" w:rsidRPr="0009448D" w:rsidRDefault="0009448D" w:rsidP="0009448D">
      <w:pPr>
        <w:jc w:val="center"/>
        <w:rPr>
          <w:rFonts w:ascii="Arial" w:hAnsi="Arial" w:cs="Arial"/>
          <w:b/>
          <w:sz w:val="28"/>
          <w:lang w:val="en-US"/>
        </w:rPr>
      </w:pPr>
    </w:p>
    <w:p w14:paraId="69243DEE" w14:textId="77777777" w:rsidR="000128FD" w:rsidRPr="0009448D" w:rsidRDefault="000128FD">
      <w:pPr>
        <w:jc w:val="both"/>
        <w:rPr>
          <w:rFonts w:ascii="Arial" w:hAnsi="Arial" w:cs="Arial"/>
          <w:lang w:val="en-US"/>
        </w:rPr>
      </w:pPr>
    </w:p>
    <w:sectPr w:rsidR="000128FD" w:rsidRPr="0009448D" w:rsidSect="00AA1B58">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D4CB4" w14:textId="77777777" w:rsidR="00A77382" w:rsidRDefault="00A77382" w:rsidP="009B48B6">
      <w:r>
        <w:separator/>
      </w:r>
    </w:p>
  </w:endnote>
  <w:endnote w:type="continuationSeparator" w:id="0">
    <w:p w14:paraId="460884E6" w14:textId="77777777" w:rsidR="00A77382" w:rsidRDefault="00A77382" w:rsidP="009B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1280" w14:textId="77777777" w:rsidR="00EF5C87" w:rsidRDefault="00EF5C87" w:rsidP="00EF5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lang w:val="en-US"/>
      </w:rPr>
    </w:pPr>
    <w:r w:rsidRPr="006A0876">
      <w:rPr>
        <w:rFonts w:ascii="Arial" w:eastAsia="Calibri" w:hAnsi="Arial" w:cs="Arial"/>
        <w:color w:val="000000"/>
        <w:sz w:val="20"/>
        <w:szCs w:val="20"/>
        <w:lang w:val="en-US"/>
      </w:rPr>
      <w:t>Stratford</w:t>
    </w:r>
    <w:r w:rsidRPr="006A0876">
      <w:rPr>
        <w:rFonts w:ascii="Arial" w:hAnsi="Arial" w:cs="Arial"/>
        <w:color w:val="000000"/>
        <w:sz w:val="20"/>
        <w:szCs w:val="20"/>
        <w:lang w:val="en-US"/>
      </w:rPr>
      <w:t xml:space="preserve"> </w:t>
    </w:r>
    <w:r w:rsidRPr="006A0876">
      <w:rPr>
        <w:rFonts w:ascii="Arial" w:eastAsia="Calibri" w:hAnsi="Arial" w:cs="Arial"/>
        <w:color w:val="000000"/>
        <w:sz w:val="20"/>
        <w:szCs w:val="20"/>
        <w:lang w:val="en-US"/>
      </w:rPr>
      <w:t>HJ</w:t>
    </w:r>
    <w:r w:rsidRPr="006A0876">
      <w:rPr>
        <w:rFonts w:ascii="Arial" w:hAnsi="Arial" w:cs="Arial"/>
        <w:color w:val="000000"/>
        <w:sz w:val="20"/>
        <w:szCs w:val="20"/>
        <w:lang w:val="en-US"/>
      </w:rPr>
      <w:t xml:space="preserve">, </w:t>
    </w:r>
    <w:r w:rsidRPr="006A0876">
      <w:rPr>
        <w:rFonts w:ascii="Arial" w:eastAsia="Calibri" w:hAnsi="Arial" w:cs="Arial"/>
        <w:color w:val="000000"/>
        <w:sz w:val="20"/>
        <w:szCs w:val="20"/>
        <w:lang w:val="en-US"/>
      </w:rPr>
      <w:t>Cooper</w:t>
    </w:r>
    <w:r w:rsidRPr="006A0876">
      <w:rPr>
        <w:rFonts w:ascii="Arial" w:hAnsi="Arial" w:cs="Arial"/>
        <w:color w:val="000000"/>
        <w:sz w:val="20"/>
        <w:szCs w:val="20"/>
        <w:lang w:val="en-US"/>
      </w:rPr>
      <w:t xml:space="preserve"> </w:t>
    </w:r>
    <w:r w:rsidRPr="006A0876">
      <w:rPr>
        <w:rFonts w:ascii="Arial" w:eastAsia="Calibri" w:hAnsi="Arial" w:cs="Arial"/>
        <w:color w:val="000000"/>
        <w:sz w:val="20"/>
        <w:szCs w:val="20"/>
        <w:lang w:val="en-US"/>
      </w:rPr>
      <w:t>MJ</w:t>
    </w:r>
    <w:r w:rsidRPr="006A0876">
      <w:rPr>
        <w:rFonts w:ascii="Arial" w:hAnsi="Arial" w:cs="Arial"/>
        <w:color w:val="000000"/>
        <w:sz w:val="20"/>
        <w:szCs w:val="20"/>
        <w:lang w:val="en-US"/>
      </w:rPr>
      <w:t xml:space="preserve">, </w:t>
    </w:r>
    <w:r w:rsidRPr="006A0876">
      <w:rPr>
        <w:rFonts w:ascii="Arial" w:eastAsia="Calibri" w:hAnsi="Arial" w:cs="Arial"/>
        <w:color w:val="000000"/>
        <w:sz w:val="20"/>
        <w:szCs w:val="20"/>
        <w:lang w:val="en-US"/>
      </w:rPr>
      <w:t>Di</w:t>
    </w:r>
    <w:r w:rsidRPr="006A0876">
      <w:rPr>
        <w:rFonts w:ascii="Arial" w:hAnsi="Arial" w:cs="Arial"/>
        <w:color w:val="000000"/>
        <w:sz w:val="20"/>
        <w:szCs w:val="20"/>
        <w:lang w:val="en-US"/>
      </w:rPr>
      <w:t xml:space="preserve"> </w:t>
    </w:r>
    <w:proofErr w:type="spellStart"/>
    <w:r w:rsidRPr="006A0876">
      <w:rPr>
        <w:rFonts w:ascii="Arial" w:eastAsia="Calibri" w:hAnsi="Arial" w:cs="Arial"/>
        <w:color w:val="000000"/>
        <w:sz w:val="20"/>
        <w:szCs w:val="20"/>
        <w:lang w:val="en-US"/>
      </w:rPr>
      <w:t>Simplicio</w:t>
    </w:r>
    <w:proofErr w:type="spellEnd"/>
    <w:r w:rsidRPr="006A0876">
      <w:rPr>
        <w:rFonts w:ascii="Arial" w:hAnsi="Arial" w:cs="Arial"/>
        <w:color w:val="000000"/>
        <w:sz w:val="20"/>
        <w:szCs w:val="20"/>
        <w:lang w:val="en-US"/>
      </w:rPr>
      <w:t xml:space="preserve"> </w:t>
    </w:r>
    <w:r w:rsidRPr="006A0876">
      <w:rPr>
        <w:rFonts w:ascii="Arial" w:eastAsia="Calibri" w:hAnsi="Arial" w:cs="Arial"/>
        <w:color w:val="000000"/>
        <w:sz w:val="20"/>
        <w:szCs w:val="20"/>
        <w:lang w:val="en-US"/>
      </w:rPr>
      <w:t>M</w:t>
    </w:r>
    <w:r w:rsidRPr="006A0876">
      <w:rPr>
        <w:rFonts w:ascii="Arial" w:hAnsi="Arial" w:cs="Arial"/>
        <w:color w:val="000000"/>
        <w:sz w:val="20"/>
        <w:szCs w:val="20"/>
        <w:lang w:val="en-US"/>
      </w:rPr>
      <w:t xml:space="preserve">, </w:t>
    </w:r>
    <w:r w:rsidRPr="006A0876">
      <w:rPr>
        <w:rFonts w:ascii="Arial" w:eastAsia="Calibri" w:hAnsi="Arial" w:cs="Arial"/>
        <w:color w:val="000000"/>
        <w:sz w:val="20"/>
        <w:szCs w:val="20"/>
        <w:lang w:val="en-US"/>
      </w:rPr>
      <w:t>Blackwell</w:t>
    </w:r>
    <w:r w:rsidRPr="006A0876">
      <w:rPr>
        <w:rFonts w:ascii="Arial" w:hAnsi="Arial" w:cs="Arial"/>
        <w:color w:val="000000"/>
        <w:sz w:val="20"/>
        <w:szCs w:val="20"/>
        <w:lang w:val="en-US"/>
      </w:rPr>
      <w:t xml:space="preserve"> </w:t>
    </w:r>
    <w:r w:rsidRPr="006A0876">
      <w:rPr>
        <w:rFonts w:ascii="Arial" w:eastAsia="Calibri" w:hAnsi="Arial" w:cs="Arial"/>
        <w:color w:val="000000"/>
        <w:sz w:val="20"/>
        <w:szCs w:val="20"/>
        <w:lang w:val="en-US"/>
      </w:rPr>
      <w:t>SE</w:t>
    </w:r>
    <w:r w:rsidRPr="006A0876">
      <w:rPr>
        <w:rFonts w:ascii="Arial" w:hAnsi="Arial" w:cs="Arial"/>
        <w:color w:val="000000"/>
        <w:sz w:val="20"/>
        <w:szCs w:val="20"/>
        <w:lang w:val="en-US"/>
      </w:rPr>
      <w:t xml:space="preserve">, </w:t>
    </w:r>
    <w:r w:rsidRPr="006A0876">
      <w:rPr>
        <w:rFonts w:ascii="Arial" w:eastAsia="Calibri" w:hAnsi="Arial" w:cs="Arial"/>
        <w:color w:val="000000"/>
        <w:sz w:val="20"/>
        <w:szCs w:val="20"/>
        <w:lang w:val="en-US"/>
      </w:rPr>
      <w:t>Holmes</w:t>
    </w:r>
    <w:r w:rsidRPr="006A0876">
      <w:rPr>
        <w:rFonts w:ascii="Arial" w:hAnsi="Arial" w:cs="Arial"/>
        <w:color w:val="000000"/>
        <w:sz w:val="20"/>
        <w:szCs w:val="20"/>
        <w:lang w:val="en-US"/>
      </w:rPr>
      <w:t xml:space="preserve"> </w:t>
    </w:r>
    <w:r w:rsidRPr="006A0876">
      <w:rPr>
        <w:rFonts w:ascii="Arial" w:eastAsia="Calibri" w:hAnsi="Arial" w:cs="Arial"/>
        <w:color w:val="000000"/>
        <w:sz w:val="20"/>
        <w:szCs w:val="20"/>
        <w:lang w:val="en-US"/>
      </w:rPr>
      <w:t>EA</w:t>
    </w:r>
    <w:r w:rsidRPr="006A0876">
      <w:rPr>
        <w:rFonts w:ascii="Arial" w:hAnsi="Arial" w:cs="Arial"/>
        <w:color w:val="000000"/>
        <w:sz w:val="20"/>
        <w:szCs w:val="20"/>
        <w:lang w:val="en-US"/>
      </w:rPr>
      <w:t>.</w:t>
    </w:r>
    <w:r>
      <w:rPr>
        <w:rFonts w:ascii="Arial" w:hAnsi="Arial" w:cs="Arial"/>
        <w:color w:val="000000"/>
        <w:sz w:val="20"/>
        <w:szCs w:val="20"/>
        <w:lang w:val="en-US"/>
      </w:rPr>
      <w:t xml:space="preserve"> </w:t>
    </w:r>
    <w:r w:rsidRPr="006A0876">
      <w:rPr>
        <w:rFonts w:ascii="Arial" w:eastAsia="Calibri" w:hAnsi="Arial" w:cs="Arial"/>
        <w:color w:val="000000"/>
        <w:sz w:val="20"/>
        <w:szCs w:val="20"/>
        <w:lang w:val="en-US"/>
      </w:rPr>
      <w:t>Psychological</w:t>
    </w:r>
    <w:r w:rsidRPr="006A0876">
      <w:rPr>
        <w:rFonts w:ascii="Arial" w:hAnsi="Arial" w:cs="Arial"/>
        <w:color w:val="000000"/>
        <w:sz w:val="20"/>
        <w:szCs w:val="20"/>
        <w:lang w:val="en-US"/>
      </w:rPr>
      <w:t xml:space="preserve"> </w:t>
    </w:r>
    <w:r w:rsidRPr="006A0876">
      <w:rPr>
        <w:rFonts w:ascii="Arial" w:eastAsia="Calibri" w:hAnsi="Arial" w:cs="Arial"/>
        <w:color w:val="000000"/>
        <w:sz w:val="20"/>
        <w:szCs w:val="20"/>
        <w:lang w:val="en-US"/>
      </w:rPr>
      <w:t>therapy</w:t>
    </w:r>
    <w:r w:rsidRPr="006A0876">
      <w:rPr>
        <w:rFonts w:ascii="Arial" w:hAnsi="Arial" w:cs="Arial"/>
        <w:color w:val="000000"/>
        <w:sz w:val="20"/>
        <w:szCs w:val="20"/>
        <w:lang w:val="en-US"/>
      </w:rPr>
      <w:t xml:space="preserve"> </w:t>
    </w:r>
    <w:r w:rsidRPr="006A0876">
      <w:rPr>
        <w:rFonts w:ascii="Arial" w:eastAsia="Calibri" w:hAnsi="Arial" w:cs="Arial"/>
        <w:color w:val="000000"/>
        <w:sz w:val="20"/>
        <w:szCs w:val="20"/>
        <w:lang w:val="en-US"/>
      </w:rPr>
      <w:t>for</w:t>
    </w:r>
    <w:r w:rsidRPr="006A0876">
      <w:rPr>
        <w:rFonts w:ascii="Arial" w:hAnsi="Arial" w:cs="Arial"/>
        <w:color w:val="000000"/>
        <w:sz w:val="20"/>
        <w:szCs w:val="20"/>
        <w:lang w:val="en-US"/>
      </w:rPr>
      <w:t xml:space="preserve"> </w:t>
    </w:r>
    <w:r w:rsidRPr="006A0876">
      <w:rPr>
        <w:rFonts w:ascii="Arial" w:eastAsia="Calibri" w:hAnsi="Arial" w:cs="Arial"/>
        <w:color w:val="000000"/>
        <w:sz w:val="20"/>
        <w:szCs w:val="20"/>
        <w:lang w:val="en-US"/>
      </w:rPr>
      <w:t>anxiety</w:t>
    </w:r>
    <w:r w:rsidRPr="006A0876">
      <w:rPr>
        <w:rFonts w:ascii="Arial" w:hAnsi="Arial" w:cs="Arial"/>
        <w:color w:val="000000"/>
        <w:sz w:val="20"/>
        <w:szCs w:val="20"/>
        <w:lang w:val="en-US"/>
      </w:rPr>
      <w:t xml:space="preserve"> </w:t>
    </w:r>
    <w:r w:rsidRPr="006A0876">
      <w:rPr>
        <w:rFonts w:ascii="Arial" w:eastAsia="Calibri" w:hAnsi="Arial" w:cs="Arial"/>
        <w:color w:val="000000"/>
        <w:sz w:val="20"/>
        <w:szCs w:val="20"/>
        <w:lang w:val="en-US"/>
      </w:rPr>
      <w:t>in</w:t>
    </w:r>
    <w:r w:rsidRPr="006A0876">
      <w:rPr>
        <w:rFonts w:ascii="Arial" w:hAnsi="Arial" w:cs="Arial"/>
        <w:color w:val="000000"/>
        <w:sz w:val="20"/>
        <w:szCs w:val="20"/>
        <w:lang w:val="en-US"/>
      </w:rPr>
      <w:t xml:space="preserve"> </w:t>
    </w:r>
    <w:r w:rsidRPr="006A0876">
      <w:rPr>
        <w:rFonts w:ascii="Arial" w:eastAsia="Calibri" w:hAnsi="Arial" w:cs="Arial"/>
        <w:color w:val="000000"/>
        <w:sz w:val="20"/>
        <w:szCs w:val="20"/>
        <w:lang w:val="en-US"/>
      </w:rPr>
      <w:t>bipolar</w:t>
    </w:r>
    <w:r w:rsidRPr="006A0876">
      <w:rPr>
        <w:rFonts w:ascii="Arial" w:hAnsi="Arial" w:cs="Arial"/>
        <w:color w:val="000000"/>
        <w:sz w:val="20"/>
        <w:szCs w:val="20"/>
        <w:lang w:val="en-US"/>
      </w:rPr>
      <w:t xml:space="preserve"> </w:t>
    </w:r>
    <w:r w:rsidRPr="006A0876">
      <w:rPr>
        <w:rFonts w:ascii="Arial" w:eastAsia="Calibri" w:hAnsi="Arial" w:cs="Arial"/>
        <w:color w:val="000000"/>
        <w:sz w:val="20"/>
        <w:szCs w:val="20"/>
        <w:lang w:val="en-US"/>
      </w:rPr>
      <w:t>spectrum</w:t>
    </w:r>
    <w:r w:rsidRPr="006A0876">
      <w:rPr>
        <w:rFonts w:ascii="Arial" w:hAnsi="Arial" w:cs="Arial"/>
        <w:color w:val="000000"/>
        <w:sz w:val="20"/>
        <w:szCs w:val="20"/>
        <w:lang w:val="en-US"/>
      </w:rPr>
      <w:t xml:space="preserve"> </w:t>
    </w:r>
    <w:r w:rsidRPr="006A0876">
      <w:rPr>
        <w:rFonts w:ascii="Arial" w:eastAsia="Calibri" w:hAnsi="Arial" w:cs="Arial"/>
        <w:color w:val="000000"/>
        <w:sz w:val="20"/>
        <w:szCs w:val="20"/>
        <w:lang w:val="en-US"/>
      </w:rPr>
      <w:t>disorders</w:t>
    </w:r>
    <w:r w:rsidRPr="006A0876">
      <w:rPr>
        <w:rFonts w:ascii="Arial" w:hAnsi="Arial" w:cs="Arial"/>
        <w:color w:val="000000"/>
        <w:sz w:val="20"/>
        <w:szCs w:val="20"/>
        <w:lang w:val="en-US"/>
      </w:rPr>
      <w:t xml:space="preserve">: </w:t>
    </w:r>
    <w:r w:rsidRPr="006A0876">
      <w:rPr>
        <w:rFonts w:ascii="Arial" w:eastAsia="Calibri" w:hAnsi="Arial" w:cs="Arial"/>
        <w:color w:val="000000"/>
        <w:sz w:val="20"/>
        <w:szCs w:val="20"/>
        <w:lang w:val="en-US"/>
      </w:rPr>
      <w:t>a</w:t>
    </w:r>
    <w:r w:rsidRPr="006A0876">
      <w:rPr>
        <w:rFonts w:ascii="Arial" w:hAnsi="Arial" w:cs="Arial"/>
        <w:color w:val="000000"/>
        <w:sz w:val="20"/>
        <w:szCs w:val="20"/>
        <w:lang w:val="en-US"/>
      </w:rPr>
      <w:t xml:space="preserve"> </w:t>
    </w:r>
    <w:r w:rsidRPr="006A0876">
      <w:rPr>
        <w:rFonts w:ascii="Arial" w:eastAsia="Calibri" w:hAnsi="Arial" w:cs="Arial"/>
        <w:color w:val="000000"/>
        <w:sz w:val="20"/>
        <w:szCs w:val="20"/>
        <w:lang w:val="en-US"/>
      </w:rPr>
      <w:t>systematic</w:t>
    </w:r>
    <w:r>
      <w:rPr>
        <w:rFonts w:ascii="Arial" w:eastAsia="Calibri" w:hAnsi="Arial" w:cs="Arial"/>
        <w:color w:val="000000"/>
        <w:sz w:val="20"/>
        <w:szCs w:val="20"/>
        <w:lang w:val="en-US"/>
      </w:rPr>
      <w:t xml:space="preserve"> </w:t>
    </w:r>
    <w:r w:rsidRPr="006A0876">
      <w:rPr>
        <w:rFonts w:ascii="Arial" w:eastAsia="Calibri" w:hAnsi="Arial" w:cs="Arial"/>
        <w:color w:val="000000"/>
        <w:sz w:val="20"/>
        <w:szCs w:val="20"/>
        <w:lang w:val="en-US"/>
      </w:rPr>
      <w:t>review</w:t>
    </w:r>
    <w:r w:rsidRPr="006A0876">
      <w:rPr>
        <w:rFonts w:ascii="Arial" w:hAnsi="Arial" w:cs="Arial"/>
        <w:color w:val="000000"/>
        <w:sz w:val="20"/>
        <w:szCs w:val="20"/>
        <w:lang w:val="en-US"/>
      </w:rPr>
      <w:t xml:space="preserve">. </w:t>
    </w:r>
    <w:proofErr w:type="spellStart"/>
    <w:r w:rsidRPr="006A0876">
      <w:rPr>
        <w:rFonts w:ascii="Arial" w:eastAsia="Calibri" w:hAnsi="Arial" w:cs="Arial"/>
        <w:color w:val="000000"/>
        <w:sz w:val="20"/>
        <w:szCs w:val="20"/>
        <w:lang w:val="en-US"/>
      </w:rPr>
      <w:t>Clin</w:t>
    </w:r>
    <w:proofErr w:type="spellEnd"/>
    <w:r w:rsidRPr="006A0876">
      <w:rPr>
        <w:rFonts w:ascii="Arial" w:hAnsi="Arial" w:cs="Arial"/>
        <w:color w:val="000000"/>
        <w:sz w:val="20"/>
        <w:szCs w:val="20"/>
        <w:lang w:val="en-US"/>
      </w:rPr>
      <w:t xml:space="preserve"> </w:t>
    </w:r>
    <w:proofErr w:type="spellStart"/>
    <w:r w:rsidRPr="006A0876">
      <w:rPr>
        <w:rFonts w:ascii="Arial" w:eastAsia="Calibri" w:hAnsi="Arial" w:cs="Arial"/>
        <w:color w:val="000000"/>
        <w:sz w:val="20"/>
        <w:szCs w:val="20"/>
        <w:lang w:val="en-US"/>
      </w:rPr>
      <w:t>Psychol</w:t>
    </w:r>
    <w:proofErr w:type="spellEnd"/>
    <w:r w:rsidRPr="006A0876">
      <w:rPr>
        <w:rFonts w:ascii="Arial" w:hAnsi="Arial" w:cs="Arial"/>
        <w:color w:val="000000"/>
        <w:sz w:val="20"/>
        <w:szCs w:val="20"/>
        <w:lang w:val="en-US"/>
      </w:rPr>
      <w:t xml:space="preserve"> </w:t>
    </w:r>
    <w:r w:rsidRPr="006A0876">
      <w:rPr>
        <w:rFonts w:ascii="Arial" w:eastAsia="Calibri" w:hAnsi="Arial" w:cs="Arial"/>
        <w:color w:val="000000"/>
        <w:sz w:val="20"/>
        <w:szCs w:val="20"/>
        <w:lang w:val="en-US"/>
      </w:rPr>
      <w:t>Rev</w:t>
    </w:r>
    <w:r w:rsidRPr="006A0876">
      <w:rPr>
        <w:rFonts w:ascii="Arial" w:hAnsi="Arial" w:cs="Arial"/>
        <w:color w:val="000000"/>
        <w:sz w:val="20"/>
        <w:szCs w:val="20"/>
        <w:lang w:val="en-US"/>
      </w:rPr>
      <w:t xml:space="preserve">. 2015 </w:t>
    </w:r>
    <w:proofErr w:type="gramStart"/>
    <w:r w:rsidRPr="006A0876">
      <w:rPr>
        <w:rFonts w:ascii="Arial" w:eastAsia="Calibri" w:hAnsi="Arial" w:cs="Arial"/>
        <w:color w:val="000000"/>
        <w:sz w:val="20"/>
        <w:szCs w:val="20"/>
        <w:lang w:val="en-US"/>
      </w:rPr>
      <w:t>Feb</w:t>
    </w:r>
    <w:r w:rsidRPr="006A0876">
      <w:rPr>
        <w:rFonts w:ascii="Arial" w:hAnsi="Arial" w:cs="Arial"/>
        <w:color w:val="000000"/>
        <w:sz w:val="20"/>
        <w:szCs w:val="20"/>
        <w:lang w:val="en-US"/>
      </w:rPr>
      <w:t>;35:19</w:t>
    </w:r>
    <w:proofErr w:type="gramEnd"/>
    <w:r w:rsidRPr="006A0876">
      <w:rPr>
        <w:rFonts w:ascii="Arial" w:hAnsi="Arial" w:cs="Arial"/>
        <w:color w:val="000000"/>
        <w:sz w:val="20"/>
        <w:szCs w:val="20"/>
        <w:lang w:val="en-US"/>
      </w:rPr>
      <w:t>-34.</w:t>
    </w:r>
  </w:p>
  <w:p w14:paraId="3D509A82" w14:textId="77777777" w:rsidR="00EF5C87" w:rsidRPr="006A0876" w:rsidRDefault="00EF5C87" w:rsidP="00EF5C87">
    <w:pPr>
      <w:pStyle w:val="Encabezado"/>
      <w:rPr>
        <w:lang w:val="en-US"/>
      </w:rPr>
    </w:pPr>
    <w:r w:rsidRPr="009D3357">
      <w:rPr>
        <w:rFonts w:ascii="Arial" w:hAnsi="Arial" w:cs="Arial"/>
        <w:color w:val="000000"/>
        <w:sz w:val="20"/>
        <w:szCs w:val="20"/>
        <w:lang w:val="en-US" w:eastAsia="ja-JP"/>
      </w:rPr>
      <w:t>https://www.ncbi.nlm.nih.gov/pubmed/25462111</w:t>
    </w:r>
  </w:p>
  <w:p w14:paraId="1FCA0D4F" w14:textId="77777777" w:rsidR="009D3357" w:rsidRDefault="009D335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5313F" w14:textId="77777777" w:rsidR="00A77382" w:rsidRDefault="00A77382" w:rsidP="009B48B6">
      <w:r>
        <w:separator/>
      </w:r>
    </w:p>
  </w:footnote>
  <w:footnote w:type="continuationSeparator" w:id="0">
    <w:p w14:paraId="0E672E63" w14:textId="77777777" w:rsidR="00A77382" w:rsidRDefault="00A77382" w:rsidP="009B48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33661" w14:textId="431CCB31" w:rsidR="009B48B6" w:rsidRPr="00EF5C87" w:rsidRDefault="00EF5C87" w:rsidP="00EF5C87">
    <w:pPr>
      <w:pStyle w:val="Encabezado"/>
    </w:pPr>
    <w:r>
      <w:rPr>
        <w:noProof/>
        <w:lang w:val="es-ES_tradnl" w:eastAsia="es-ES_tradnl"/>
      </w:rPr>
      <w:drawing>
        <wp:anchor distT="0" distB="0" distL="114300" distR="114300" simplePos="0" relativeHeight="251658240" behindDoc="0" locked="0" layoutInCell="1" allowOverlap="1" wp14:anchorId="174F2A13" wp14:editId="0D071AE3">
          <wp:simplePos x="0" y="0"/>
          <wp:positionH relativeFrom="column">
            <wp:posOffset>-610235</wp:posOffset>
          </wp:positionH>
          <wp:positionV relativeFrom="paragraph">
            <wp:posOffset>-208280</wp:posOffset>
          </wp:positionV>
          <wp:extent cx="6668135" cy="721360"/>
          <wp:effectExtent l="0" t="0" r="0" b="0"/>
          <wp:wrapTopAndBottom/>
          <wp:docPr id="1" name="Imagen 1" descr="../../../logos%20web%20investig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20web%20investigac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8135" cy="721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7C0B"/>
    <w:rsid w:val="000128FD"/>
    <w:rsid w:val="000439F3"/>
    <w:rsid w:val="00071499"/>
    <w:rsid w:val="000806E5"/>
    <w:rsid w:val="0009448D"/>
    <w:rsid w:val="000A5398"/>
    <w:rsid w:val="00184B0E"/>
    <w:rsid w:val="001E6B94"/>
    <w:rsid w:val="002061BF"/>
    <w:rsid w:val="002830A3"/>
    <w:rsid w:val="00283E36"/>
    <w:rsid w:val="002A0AC6"/>
    <w:rsid w:val="002F4378"/>
    <w:rsid w:val="00316BF1"/>
    <w:rsid w:val="00391842"/>
    <w:rsid w:val="003B3920"/>
    <w:rsid w:val="003C100D"/>
    <w:rsid w:val="003C1FF2"/>
    <w:rsid w:val="00443A07"/>
    <w:rsid w:val="004729C1"/>
    <w:rsid w:val="004B7963"/>
    <w:rsid w:val="004C1612"/>
    <w:rsid w:val="00537DFB"/>
    <w:rsid w:val="0056785C"/>
    <w:rsid w:val="005F045C"/>
    <w:rsid w:val="005F7C0B"/>
    <w:rsid w:val="00614752"/>
    <w:rsid w:val="006A0876"/>
    <w:rsid w:val="006B15EA"/>
    <w:rsid w:val="006C639A"/>
    <w:rsid w:val="00866E07"/>
    <w:rsid w:val="008942EC"/>
    <w:rsid w:val="008F6213"/>
    <w:rsid w:val="00952FF8"/>
    <w:rsid w:val="009B48B6"/>
    <w:rsid w:val="009C0114"/>
    <w:rsid w:val="009D3357"/>
    <w:rsid w:val="00A34C7A"/>
    <w:rsid w:val="00A77382"/>
    <w:rsid w:val="00AA1B58"/>
    <w:rsid w:val="00AC147D"/>
    <w:rsid w:val="00B20C6D"/>
    <w:rsid w:val="00B35FA6"/>
    <w:rsid w:val="00B7710F"/>
    <w:rsid w:val="00BE2891"/>
    <w:rsid w:val="00C11ED9"/>
    <w:rsid w:val="00C47644"/>
    <w:rsid w:val="00C731BD"/>
    <w:rsid w:val="00CD4934"/>
    <w:rsid w:val="00CE1816"/>
    <w:rsid w:val="00DA52B2"/>
    <w:rsid w:val="00EF5C87"/>
    <w:rsid w:val="00F61D2E"/>
    <w:rsid w:val="00F65EA1"/>
    <w:rsid w:val="00FA57A9"/>
    <w:rsid w:val="00FB2F86"/>
    <w:rsid w:val="00FB726D"/>
    <w:rsid w:val="00FD113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DA6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48D"/>
    <w:pPr>
      <w:spacing w:after="0" w:line="240" w:lineRule="auto"/>
    </w:pPr>
    <w:rPr>
      <w:rFonts w:ascii="Times New Roman" w:hAnsi="Times New Roman" w:cs="Times New Roman"/>
      <w:sz w:val="24"/>
      <w:szCs w:val="24"/>
      <w:lang w:val="es-ES_tradnl"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8B6"/>
    <w:pPr>
      <w:tabs>
        <w:tab w:val="center" w:pos="4252"/>
        <w:tab w:val="right" w:pos="8504"/>
      </w:tabs>
    </w:pPr>
    <w:rPr>
      <w:rFonts w:ascii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9B48B6"/>
  </w:style>
  <w:style w:type="paragraph" w:styleId="Piedepgina">
    <w:name w:val="footer"/>
    <w:basedOn w:val="Normal"/>
    <w:link w:val="PiedepginaCar"/>
    <w:uiPriority w:val="99"/>
    <w:unhideWhenUsed/>
    <w:rsid w:val="009B48B6"/>
    <w:pPr>
      <w:tabs>
        <w:tab w:val="center" w:pos="4252"/>
        <w:tab w:val="right" w:pos="8504"/>
      </w:tabs>
    </w:pPr>
    <w:rPr>
      <w:rFonts w:ascii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9B48B6"/>
  </w:style>
  <w:style w:type="paragraph" w:styleId="HTMLconformatoprevio">
    <w:name w:val="HTML Preformatted"/>
    <w:basedOn w:val="Normal"/>
    <w:link w:val="HTMLconformatoprevioCar"/>
    <w:uiPriority w:val="99"/>
    <w:semiHidden/>
    <w:unhideWhenUsed/>
    <w:rsid w:val="006A0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A0876"/>
    <w:rPr>
      <w:rFonts w:ascii="Courier New" w:hAnsi="Courier New" w:cs="Courier New"/>
      <w:sz w:val="20"/>
      <w:szCs w:val="20"/>
      <w:lang w:val="es-ES_tradnl" w:eastAsia="ja-JP"/>
    </w:rPr>
  </w:style>
  <w:style w:type="character" w:customStyle="1" w:styleId="apple-converted-space">
    <w:name w:val="apple-converted-space"/>
    <w:basedOn w:val="Fuentedeprrafopredeter"/>
    <w:rsid w:val="006A0876"/>
  </w:style>
  <w:style w:type="character" w:customStyle="1" w:styleId="highlight">
    <w:name w:val="highlight"/>
    <w:basedOn w:val="Fuentedeprrafopredeter"/>
    <w:rsid w:val="006A0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185077">
      <w:bodyDiv w:val="1"/>
      <w:marLeft w:val="0"/>
      <w:marRight w:val="0"/>
      <w:marTop w:val="0"/>
      <w:marBottom w:val="0"/>
      <w:divBdr>
        <w:top w:val="none" w:sz="0" w:space="0" w:color="auto"/>
        <w:left w:val="none" w:sz="0" w:space="0" w:color="auto"/>
        <w:bottom w:val="none" w:sz="0" w:space="0" w:color="auto"/>
        <w:right w:val="none" w:sz="0" w:space="0" w:color="auto"/>
      </w:divBdr>
    </w:div>
    <w:div w:id="754085380">
      <w:bodyDiv w:val="1"/>
      <w:marLeft w:val="0"/>
      <w:marRight w:val="0"/>
      <w:marTop w:val="0"/>
      <w:marBottom w:val="0"/>
      <w:divBdr>
        <w:top w:val="none" w:sz="0" w:space="0" w:color="auto"/>
        <w:left w:val="none" w:sz="0" w:space="0" w:color="auto"/>
        <w:bottom w:val="none" w:sz="0" w:space="0" w:color="auto"/>
        <w:right w:val="none" w:sz="0" w:space="0" w:color="auto"/>
      </w:divBdr>
    </w:div>
    <w:div w:id="111983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2</Pages>
  <Words>573</Words>
  <Characters>3152</Characters>
  <Application>Microsoft Macintosh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Usuario de Microsoft Office</cp:lastModifiedBy>
  <cp:revision>13</cp:revision>
  <dcterms:created xsi:type="dcterms:W3CDTF">2016-12-24T10:30:00Z</dcterms:created>
  <dcterms:modified xsi:type="dcterms:W3CDTF">2017-09-24T11:58:00Z</dcterms:modified>
</cp:coreProperties>
</file>