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CDBB1" w14:textId="77777777" w:rsidR="007674C9" w:rsidRDefault="007674C9" w:rsidP="00504FCA">
      <w:pPr>
        <w:spacing w:after="200" w:line="276" w:lineRule="auto"/>
        <w:jc w:val="center"/>
        <w:rPr>
          <w:rFonts w:ascii="Arial" w:hAnsi="Arial" w:cs="Arial"/>
          <w:b/>
          <w:sz w:val="28"/>
          <w:lang w:val="es-ES_tradnl"/>
        </w:rPr>
      </w:pPr>
    </w:p>
    <w:p w14:paraId="21751229" w14:textId="0F989F5C" w:rsidR="00D674AE" w:rsidRPr="007F2F91" w:rsidRDefault="00D674AE" w:rsidP="00504FCA">
      <w:pPr>
        <w:spacing w:after="200" w:line="276" w:lineRule="auto"/>
        <w:jc w:val="center"/>
        <w:rPr>
          <w:rFonts w:ascii="Arial" w:hAnsi="Arial" w:cs="Arial"/>
          <w:b/>
          <w:sz w:val="28"/>
          <w:lang w:val="es-ES_tradnl"/>
        </w:rPr>
      </w:pPr>
      <w:bookmarkStart w:id="0" w:name="_GoBack"/>
      <w:bookmarkEnd w:id="0"/>
      <w:r w:rsidRPr="007F2F91">
        <w:rPr>
          <w:rFonts w:ascii="Arial" w:hAnsi="Arial" w:cs="Arial"/>
          <w:b/>
          <w:sz w:val="28"/>
          <w:lang w:val="es-ES_tradnl"/>
        </w:rPr>
        <w:t>Mindfulness</w:t>
      </w:r>
      <w:r w:rsidR="00A5265D" w:rsidRPr="007F2F91">
        <w:rPr>
          <w:rFonts w:ascii="Arial" w:hAnsi="Arial" w:cs="Arial"/>
          <w:b/>
          <w:sz w:val="28"/>
          <w:lang w:val="es-ES_tradnl"/>
        </w:rPr>
        <w:t xml:space="preserve"> </w:t>
      </w:r>
      <w:r w:rsidR="00A91238">
        <w:rPr>
          <w:rFonts w:ascii="Arial" w:hAnsi="Arial" w:cs="Arial"/>
          <w:b/>
          <w:sz w:val="28"/>
          <w:lang w:val="es-ES_tradnl"/>
        </w:rPr>
        <w:t>para personas con ansiedad o depresión: Meta-Análisis de RCTs</w:t>
      </w:r>
    </w:p>
    <w:p w14:paraId="70B05118" w14:textId="56357878" w:rsidR="00C9293D" w:rsidRDefault="00DF0537" w:rsidP="00DF053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Las intervenciones basadas en la atención plena (MBI) pueden reducir el riesgo de recaída depresiva para las personas con antecedentes de depresión recurrente que actualmente están bien</w:t>
      </w:r>
      <w:r w:rsidR="00C9293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, concretamente la MBCT se muestra más eficaz que el tratamiento habitual, y es incluso comparable a la medicación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. Sin embargo, las características cognitivas, afectivas y motivacionales de la depresión y la ansi</w:t>
      </w:r>
      <w:r w:rsidR="00370704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edad podrían hacer ineficaces la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s MBI para las personas que experimentan los síntomas actuales. En este artículo se presenta un meta</w:t>
      </w:r>
      <w:r w:rsidR="00C9293D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-</w:t>
      </w: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>análisis de ensayos controlados aleatorios (ECA) de MBI en los que los participantes</w:t>
      </w:r>
      <w:r w:rsidR="0080706B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estaban diagnosticados de un episodio actual de ansiedad o depresión.</w:t>
      </w:r>
    </w:p>
    <w:p w14:paraId="687C7300" w14:textId="3DED0C76" w:rsidR="00DF0537" w:rsidRDefault="00DF0537" w:rsidP="00DF0537">
      <w:pPr>
        <w:pStyle w:val="Ttulo4"/>
        <w:spacing w:before="0" w:beforeAutospacing="0" w:after="0" w:afterAutospacing="0"/>
        <w:ind w:right="60"/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</w:pPr>
      <w:r w:rsidRPr="00DF0537">
        <w:rPr>
          <w:rStyle w:val="highlight"/>
          <w:rFonts w:ascii="Arial" w:hAnsi="Arial" w:cs="Arial"/>
          <w:b w:val="0"/>
          <w:bCs w:val="0"/>
          <w:color w:val="000000"/>
          <w:sz w:val="25"/>
          <w:szCs w:val="25"/>
        </w:rPr>
        <w:t xml:space="preserve"> </w:t>
      </w:r>
    </w:p>
    <w:p w14:paraId="04F6EB6E" w14:textId="6C1AF259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</w:rPr>
        <w:t> </w:t>
      </w:r>
    </w:p>
    <w:p w14:paraId="0FB2933C" w14:textId="2AA897F9" w:rsidR="00DF0537" w:rsidRPr="00DF0537" w:rsidRDefault="005E5F79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calcularon t</w:t>
      </w:r>
      <w:r w:rsidR="00DF0537" w:rsidRPr="00DF0537">
        <w:rPr>
          <w:rFonts w:ascii="Arial" w:hAnsi="Arial" w:cs="Arial"/>
          <w:color w:val="000000"/>
          <w:sz w:val="25"/>
          <w:szCs w:val="25"/>
        </w:rPr>
        <w:t>amaños del efecto g de Hedges, usando el modelo de efectos aleatorios, entre los grupos en el momento post-intervención.</w:t>
      </w:r>
      <w:r w:rsidR="00DF0537" w:rsidRPr="00DF0537">
        <w:t xml:space="preserve"> </w:t>
      </w:r>
      <w:r>
        <w:rPr>
          <w:rFonts w:ascii="Arial" w:hAnsi="Arial" w:cs="Arial"/>
          <w:color w:val="000000"/>
          <w:sz w:val="25"/>
          <w:szCs w:val="25"/>
        </w:rPr>
        <w:t>También s</w:t>
      </w:r>
      <w:r w:rsidR="00DF0537" w:rsidRPr="00DF0537">
        <w:rPr>
          <w:rFonts w:ascii="Arial" w:hAnsi="Arial" w:cs="Arial"/>
          <w:color w:val="000000"/>
          <w:sz w:val="25"/>
          <w:szCs w:val="25"/>
        </w:rPr>
        <w:t>e realizaron análisis de moderador de diagnóstico primario, tipo de intervención y condición de control y se evaluó el sesgo de publicación.</w:t>
      </w:r>
    </w:p>
    <w:p w14:paraId="50C72815" w14:textId="0B5DA35E" w:rsidR="00DF0537" w:rsidRPr="00781200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781200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</w:rPr>
        <w:t> </w:t>
      </w:r>
    </w:p>
    <w:p w14:paraId="3D24CDF4" w14:textId="44E11A11" w:rsidR="009178C0" w:rsidRDefault="00893C34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  <w:r w:rsidRPr="00893C34">
        <w:rPr>
          <w:rFonts w:ascii="Arial" w:hAnsi="Arial" w:cs="Arial"/>
          <w:color w:val="000000"/>
          <w:sz w:val="25"/>
          <w:szCs w:val="25"/>
        </w:rPr>
        <w:t>Doce estudios cumplieron con los criterios de inclusión (n = 578).</w:t>
      </w:r>
      <w:r>
        <w:rPr>
          <w:rFonts w:ascii="Arial" w:hAnsi="Arial" w:cs="Arial"/>
          <w:color w:val="000000"/>
          <w:sz w:val="25"/>
          <w:szCs w:val="25"/>
        </w:rPr>
        <w:t xml:space="preserve"> Hubo beneficios significativos entre los grupos en el momento post-</w:t>
      </w:r>
      <w:r w:rsidR="005E5F79">
        <w:rPr>
          <w:rFonts w:ascii="Arial" w:hAnsi="Arial" w:cs="Arial"/>
          <w:color w:val="000000"/>
          <w:sz w:val="25"/>
          <w:szCs w:val="25"/>
        </w:rPr>
        <w:t>intervención</w:t>
      </w:r>
      <w:r>
        <w:rPr>
          <w:rFonts w:ascii="Arial" w:hAnsi="Arial" w:cs="Arial"/>
          <w:color w:val="000000"/>
          <w:sz w:val="25"/>
          <w:szCs w:val="25"/>
        </w:rPr>
        <w:t xml:space="preserve"> para las condiciones de MBIs en comparación con las condiciones controles en cuanto a la severidad de la sintomatología primaria</w:t>
      </w:r>
      <w:r w:rsidRPr="00893C34">
        <w:t xml:space="preserve"> </w:t>
      </w:r>
      <w:r w:rsidRPr="00893C34">
        <w:rPr>
          <w:rFonts w:ascii="Arial" w:hAnsi="Arial" w:cs="Arial"/>
          <w:color w:val="000000"/>
          <w:sz w:val="25"/>
          <w:szCs w:val="25"/>
        </w:rPr>
        <w:t>(Hedges g = -0,59, IC del 95% = -0,12 a -1,06).</w:t>
      </w:r>
      <w:r w:rsidRPr="00893C34">
        <w:t xml:space="preserve"> </w:t>
      </w:r>
      <w:r w:rsidRPr="00893C34">
        <w:rPr>
          <w:rFonts w:ascii="Arial" w:hAnsi="Arial" w:cs="Arial"/>
          <w:color w:val="000000"/>
          <w:sz w:val="25"/>
          <w:szCs w:val="25"/>
        </w:rPr>
        <w:t>Los efectos se demostraron para la gravedad de los síntomas depresivos (Hedges g = -0,73, IC del 95% = -0,09 a -1,36), pero no para la gravedad de los síntomas de ansiedad (Hedges g = -0,55, IC del 95%</w:t>
      </w:r>
      <w:r>
        <w:rPr>
          <w:rFonts w:ascii="Arial" w:hAnsi="Arial" w:cs="Arial"/>
          <w:color w:val="000000"/>
          <w:sz w:val="25"/>
          <w:szCs w:val="25"/>
        </w:rPr>
        <w:t xml:space="preserve"> = 0,09 a -1,18), para los ECA c</w:t>
      </w:r>
      <w:r w:rsidRPr="00893C34">
        <w:rPr>
          <w:rFonts w:ascii="Arial" w:hAnsi="Arial" w:cs="Arial"/>
          <w:color w:val="000000"/>
          <w:sz w:val="25"/>
          <w:szCs w:val="25"/>
        </w:rPr>
        <w:t>on un control inactivo (Hedges g = -1,03, IC del 95% = -0,40 a -1,66), pero no cuando hubo un control activo (Hedges g = 0,03, IC del 95% = 0,54 a -0,48) y se encontraron efectos para MBCT (Hedges g = -0,39, IC del 95% = -0,15 a -0,63) pero no para MBSR (Coberturas g = -0,75, IC del 95% = 0,31 a -1,81).</w:t>
      </w:r>
    </w:p>
    <w:p w14:paraId="0AB1E3EF" w14:textId="77777777" w:rsidR="00CD3B83" w:rsidRPr="00893C34" w:rsidRDefault="00CD3B83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</w:rPr>
      </w:pPr>
    </w:p>
    <w:p w14:paraId="0FD1C65C" w14:textId="5475C3B0" w:rsidR="00CD3B83" w:rsidRPr="00CD3B83" w:rsidRDefault="00CD3B83" w:rsidP="00CD3B83">
      <w:pPr>
        <w:tabs>
          <w:tab w:val="left" w:pos="2410"/>
        </w:tabs>
        <w:spacing w:after="200" w:line="276" w:lineRule="auto"/>
        <w:rPr>
          <w:rFonts w:ascii="Arial" w:hAnsi="Arial" w:cs="Arial"/>
          <w:sz w:val="25"/>
          <w:szCs w:val="25"/>
          <w:lang w:val="es-ES_tradnl"/>
        </w:rPr>
      </w:pPr>
      <w:r w:rsidRPr="00CD3B83">
        <w:rPr>
          <w:rFonts w:ascii="Arial" w:hAnsi="Arial" w:cs="Arial"/>
          <w:sz w:val="25"/>
          <w:szCs w:val="25"/>
          <w:lang w:val="es-ES_tradnl"/>
        </w:rPr>
        <w:t>Este es el primer metanálisis publicado de ECAs que evalúa la efectividad de los MBI para las personas que experimentan un episodio actual de un trastorno depresivo o ansiedad. Los resultados de los análisis indican que las MBIs pueden producir resultados similares a la Terapia Cognitivo-Conductual en grupo, y por lo tanto, se defiende la idea de que la MBCT puede ser ofrecido en el contexto clínico para tratar los trastornos de ansiedad y depresión.</w:t>
      </w:r>
    </w:p>
    <w:p w14:paraId="217200E0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4A533A4B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64A7D515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15A67681" w14:textId="77777777" w:rsidR="007F2F91" w:rsidRPr="00DF0537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s-ES_tradnl"/>
        </w:rPr>
      </w:pPr>
    </w:p>
    <w:p w14:paraId="2E1CDE40" w14:textId="77777777" w:rsidR="007F2F91" w:rsidRDefault="007F2F91" w:rsidP="007F2F91">
      <w:pPr>
        <w:spacing w:after="200" w:line="276" w:lineRule="auto"/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ABSTRACT</w:t>
      </w:r>
    </w:p>
    <w:p w14:paraId="69ACEBE7" w14:textId="77777777" w:rsidR="00DF0537" w:rsidRPr="00781200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781200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OBJECTIVE:</w:t>
      </w:r>
      <w:r w:rsidRPr="00781200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29E2F9C0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Mindfulness-based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interventions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(MBIs) can reduce risk of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relapse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 history of recurrent depression who are currently well. However, the cognitive, affective and motivational features of depression and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might render MBIs ineffective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experiencing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symptoms. This paper presents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randomised controlled trials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(RCTs) of MBIs where participants met diagnostic criteria for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episode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an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 disorder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.</w:t>
      </w:r>
    </w:p>
    <w:p w14:paraId="039405C2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METHOD: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60AD9022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Post-intervention between-group Hedges g effect sizes were calculated using a random effects model. Moderator analyses of primary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diagnosis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, intervention type and control condition were conducted and publication bias was assessed.</w:t>
      </w:r>
    </w:p>
    <w:p w14:paraId="7D7F4C14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RESULTS: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17969268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Twelve studies met inclusion criteria (n = 578). There were significant post-intervention between-group benefits of MBIs relative to control conditions on primary symptom severity (Hedges g = -0.59, 95% CI = -0.12 to -1.06). Effects were demonstrated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 severity (Hedges g = -0.73, 95% CI = -0.09 to -1.36), but not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symptom severity (Hedges g = -0.55, 95% CI = 0.09 to -1.18), for RCTs with an inactive control (Hedges g = -1.03, 95% CI = -0.40 to -1.66), but not where there was an active control (Hedges g = 0.03, 95% CI = 0.54 to -0.48) and effects were found for MBCT (Hedges g = -0.39, 95% CI = -0.15 to -0.63) but not for MBSR (Hedges g = -0.75, 95% CI = 0.31 to -1.81).</w:t>
      </w:r>
    </w:p>
    <w:p w14:paraId="067B4C11" w14:textId="77777777" w:rsidR="00DF0537" w:rsidRPr="00DF0537" w:rsidRDefault="00DF0537" w:rsidP="00DF0537">
      <w:pPr>
        <w:pStyle w:val="Ttulo4"/>
        <w:spacing w:before="0" w:beforeAutospacing="0" w:after="0" w:afterAutospacing="0"/>
        <w:ind w:right="60"/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</w:pPr>
      <w:r w:rsidRPr="00DF0537">
        <w:rPr>
          <w:rFonts w:ascii="Arial" w:eastAsia="Times New Roman" w:hAnsi="Arial" w:cs="Arial"/>
          <w:caps/>
          <w:color w:val="000000"/>
          <w:sz w:val="20"/>
          <w:szCs w:val="20"/>
          <w:lang w:val="en-US"/>
        </w:rPr>
        <w:t>CONCLUSIONS:</w:t>
      </w:r>
      <w:r w:rsidRPr="00DF0537">
        <w:rPr>
          <w:rStyle w:val="apple-converted-space"/>
          <w:rFonts w:ascii="Arial" w:eastAsia="Times New Roman" w:hAnsi="Arial" w:cs="Arial"/>
          <w:caps/>
          <w:color w:val="000000"/>
          <w:sz w:val="20"/>
          <w:szCs w:val="20"/>
          <w:lang w:val="en-US"/>
        </w:rPr>
        <w:t> </w:t>
      </w:r>
    </w:p>
    <w:p w14:paraId="4321E910" w14:textId="77777777" w:rsidR="00DF0537" w:rsidRPr="00DF0537" w:rsidRDefault="00DF0537" w:rsidP="00DF053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5"/>
          <w:szCs w:val="25"/>
          <w:lang w:val="en-US"/>
        </w:rPr>
      </w:pPr>
      <w:r w:rsidRPr="00DF0537">
        <w:rPr>
          <w:rFonts w:ascii="Arial" w:hAnsi="Arial" w:cs="Arial"/>
          <w:color w:val="000000"/>
          <w:sz w:val="25"/>
          <w:szCs w:val="25"/>
          <w:lang w:val="en-US"/>
        </w:rPr>
        <w:t>This is the first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meta-analysis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RCTs of MBIs where all studies included only participants who were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diagnosed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episode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of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anxiety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disorder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. Effects of MBIs on primary symptom severity were found for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people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with a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current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Style w:val="highlight"/>
          <w:rFonts w:ascii="Arial" w:hAnsi="Arial" w:cs="Arial"/>
          <w:color w:val="000000"/>
          <w:sz w:val="25"/>
          <w:szCs w:val="25"/>
          <w:lang w:val="en-US"/>
        </w:rPr>
        <w:t>depressive disorder</w:t>
      </w:r>
      <w:r w:rsidRPr="00DF0537">
        <w:rPr>
          <w:rStyle w:val="apple-converted-space"/>
          <w:rFonts w:ascii="Arial" w:hAnsi="Arial" w:cs="Arial"/>
          <w:color w:val="000000"/>
          <w:sz w:val="25"/>
          <w:szCs w:val="25"/>
          <w:lang w:val="en-US"/>
        </w:rPr>
        <w:t> </w:t>
      </w:r>
      <w:r w:rsidRPr="00DF0537">
        <w:rPr>
          <w:rFonts w:ascii="Arial" w:hAnsi="Arial" w:cs="Arial"/>
          <w:color w:val="000000"/>
          <w:sz w:val="25"/>
          <w:szCs w:val="25"/>
          <w:lang w:val="en-US"/>
        </w:rPr>
        <w:t>and it is recommended that MBIs might be considered as an intervention for this population.</w:t>
      </w:r>
    </w:p>
    <w:p w14:paraId="404131E3" w14:textId="77777777" w:rsidR="007F2F91" w:rsidRPr="00504FCA" w:rsidRDefault="007F2F91" w:rsidP="007F2F91">
      <w:pPr>
        <w:spacing w:after="200" w:line="276" w:lineRule="auto"/>
        <w:jc w:val="center"/>
        <w:rPr>
          <w:rFonts w:ascii="Arial" w:hAnsi="Arial" w:cs="Arial"/>
          <w:b/>
          <w:sz w:val="28"/>
          <w:lang w:val="en-US"/>
        </w:rPr>
      </w:pPr>
    </w:p>
    <w:p w14:paraId="2023ACBB" w14:textId="77777777" w:rsidR="007F2F91" w:rsidRPr="007F2F91" w:rsidRDefault="007F2F91" w:rsidP="00FC2FAC">
      <w:pPr>
        <w:tabs>
          <w:tab w:val="left" w:pos="2410"/>
        </w:tabs>
        <w:spacing w:after="200" w:line="276" w:lineRule="auto"/>
        <w:jc w:val="both"/>
        <w:rPr>
          <w:rFonts w:ascii="Arial" w:hAnsi="Arial" w:cs="Arial"/>
          <w:sz w:val="22"/>
          <w:lang w:val="en-US"/>
        </w:rPr>
      </w:pPr>
    </w:p>
    <w:sectPr w:rsidR="007F2F91" w:rsidRPr="007F2F91" w:rsidSect="00A24A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EA11" w14:textId="77777777" w:rsidR="0003650C" w:rsidRDefault="0003650C" w:rsidP="00982ACA">
      <w:r>
        <w:separator/>
      </w:r>
    </w:p>
  </w:endnote>
  <w:endnote w:type="continuationSeparator" w:id="0">
    <w:p w14:paraId="4A3E925E" w14:textId="77777777" w:rsidR="0003650C" w:rsidRDefault="0003650C" w:rsidP="009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155C" w14:textId="77777777" w:rsidR="007674C9" w:rsidRDefault="007674C9" w:rsidP="007674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 w:eastAsia="ja-JP"/>
      </w:rPr>
    </w:pPr>
    <w:r w:rsidRPr="00503329">
      <w:rPr>
        <w:rFonts w:ascii="Arial" w:hAnsi="Arial" w:cs="Arial"/>
        <w:color w:val="000000"/>
        <w:sz w:val="20"/>
        <w:szCs w:val="20"/>
        <w:lang w:val="en-US" w:eastAsia="ja-JP"/>
      </w:rPr>
      <w:t>Strauss C, Cavanagh K, Oliver A, Pettman D. Mindfulness-based interventions for people diagnosed with a current episode of an anxiety or depressive disorder: a meta-analysis of randomised controlled trials. PLoS One. 2014 Apr 24;9(4):e96110.</w:t>
    </w:r>
  </w:p>
  <w:p w14:paraId="35343C3F" w14:textId="77777777" w:rsidR="007674C9" w:rsidRPr="00503329" w:rsidRDefault="007674C9" w:rsidP="007674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 w:eastAsia="ja-JP"/>
      </w:rPr>
    </w:pPr>
    <w:r w:rsidRPr="00781200">
      <w:rPr>
        <w:rFonts w:ascii="Arial" w:hAnsi="Arial" w:cs="Arial"/>
        <w:color w:val="000000"/>
        <w:sz w:val="20"/>
        <w:szCs w:val="20"/>
        <w:lang w:val="en-US" w:eastAsia="ja-JP"/>
      </w:rPr>
      <w:t>https://www.ncbi.nlm.nih.gov/pmc/articles/PMC3999148/</w:t>
    </w:r>
  </w:p>
  <w:p w14:paraId="534229C7" w14:textId="77777777" w:rsidR="007674C9" w:rsidRDefault="007674C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82C9" w14:textId="77777777" w:rsidR="0003650C" w:rsidRDefault="0003650C" w:rsidP="00982ACA">
      <w:r>
        <w:separator/>
      </w:r>
    </w:p>
  </w:footnote>
  <w:footnote w:type="continuationSeparator" w:id="0">
    <w:p w14:paraId="5421A7E6" w14:textId="77777777" w:rsidR="0003650C" w:rsidRDefault="0003650C" w:rsidP="00982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C770" w14:textId="406DFA86" w:rsidR="00982ACA" w:rsidRPr="00503329" w:rsidRDefault="007674C9" w:rsidP="00503329">
    <w:pPr>
      <w:pStyle w:val="Encabezado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630AFA9" wp14:editId="7EA2DA47">
          <wp:simplePos x="0" y="0"/>
          <wp:positionH relativeFrom="column">
            <wp:posOffset>-572135</wp:posOffset>
          </wp:positionH>
          <wp:positionV relativeFrom="paragraph">
            <wp:posOffset>-109220</wp:posOffset>
          </wp:positionV>
          <wp:extent cx="6390005" cy="681990"/>
          <wp:effectExtent l="0" t="0" r="0" b="0"/>
          <wp:wrapTopAndBottom/>
          <wp:docPr id="1" name="Imagen 1" descr="../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0044"/>
    <w:multiLevelType w:val="hybridMultilevel"/>
    <w:tmpl w:val="F4B6A6FE"/>
    <w:lvl w:ilvl="0" w:tplc="85C41B78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2CF2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4AE"/>
    <w:rsid w:val="000208D1"/>
    <w:rsid w:val="0003650C"/>
    <w:rsid w:val="000807BC"/>
    <w:rsid w:val="00097D85"/>
    <w:rsid w:val="000B2163"/>
    <w:rsid w:val="00115611"/>
    <w:rsid w:val="001C0FA5"/>
    <w:rsid w:val="001E3280"/>
    <w:rsid w:val="002513E1"/>
    <w:rsid w:val="00271E29"/>
    <w:rsid w:val="0028696A"/>
    <w:rsid w:val="00323BC6"/>
    <w:rsid w:val="00370704"/>
    <w:rsid w:val="003A5C33"/>
    <w:rsid w:val="00476477"/>
    <w:rsid w:val="004E07D8"/>
    <w:rsid w:val="00503329"/>
    <w:rsid w:val="00504FCA"/>
    <w:rsid w:val="00510550"/>
    <w:rsid w:val="0059214C"/>
    <w:rsid w:val="0059582A"/>
    <w:rsid w:val="005B60F5"/>
    <w:rsid w:val="005D73F5"/>
    <w:rsid w:val="005E5F79"/>
    <w:rsid w:val="0064495F"/>
    <w:rsid w:val="006532BE"/>
    <w:rsid w:val="00655BF7"/>
    <w:rsid w:val="006A7A6F"/>
    <w:rsid w:val="006B6566"/>
    <w:rsid w:val="00722A4D"/>
    <w:rsid w:val="00724DB7"/>
    <w:rsid w:val="007674C9"/>
    <w:rsid w:val="00781200"/>
    <w:rsid w:val="007F2F91"/>
    <w:rsid w:val="0080706B"/>
    <w:rsid w:val="00851CA2"/>
    <w:rsid w:val="00893C34"/>
    <w:rsid w:val="009178C0"/>
    <w:rsid w:val="00976A58"/>
    <w:rsid w:val="00982ACA"/>
    <w:rsid w:val="00992F46"/>
    <w:rsid w:val="00995BE2"/>
    <w:rsid w:val="009F69CE"/>
    <w:rsid w:val="00A138BD"/>
    <w:rsid w:val="00A24A4E"/>
    <w:rsid w:val="00A5265D"/>
    <w:rsid w:val="00A91238"/>
    <w:rsid w:val="00AE44F6"/>
    <w:rsid w:val="00AF37E6"/>
    <w:rsid w:val="00B60E67"/>
    <w:rsid w:val="00B610CE"/>
    <w:rsid w:val="00C347D0"/>
    <w:rsid w:val="00C46865"/>
    <w:rsid w:val="00C503AE"/>
    <w:rsid w:val="00C63CB4"/>
    <w:rsid w:val="00C9293D"/>
    <w:rsid w:val="00CD3B83"/>
    <w:rsid w:val="00CE1295"/>
    <w:rsid w:val="00CF2657"/>
    <w:rsid w:val="00D674AE"/>
    <w:rsid w:val="00D76791"/>
    <w:rsid w:val="00DA723D"/>
    <w:rsid w:val="00DD0A9B"/>
    <w:rsid w:val="00DF0537"/>
    <w:rsid w:val="00DF0E31"/>
    <w:rsid w:val="00DF12AB"/>
    <w:rsid w:val="00DF712C"/>
    <w:rsid w:val="00EF0BBB"/>
    <w:rsid w:val="00F1694B"/>
    <w:rsid w:val="00F30ACD"/>
    <w:rsid w:val="00F3734B"/>
    <w:rsid w:val="00F5729E"/>
    <w:rsid w:val="00F6159E"/>
    <w:rsid w:val="00F8798C"/>
    <w:rsid w:val="00FA4D35"/>
    <w:rsid w:val="00FB77BC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CD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4D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22A4D"/>
    <w:pPr>
      <w:keepNext/>
      <w:numPr>
        <w:numId w:val="1"/>
      </w:numPr>
      <w:outlineLvl w:val="1"/>
    </w:pPr>
    <w:rPr>
      <w:rFonts w:eastAsia="Times New Roman" w:cs="Times New Roman"/>
      <w:sz w:val="28"/>
    </w:rPr>
  </w:style>
  <w:style w:type="paragraph" w:styleId="Ttulo4">
    <w:name w:val="heading 4"/>
    <w:basedOn w:val="Normal"/>
    <w:link w:val="Ttulo4Car"/>
    <w:uiPriority w:val="9"/>
    <w:qFormat/>
    <w:rsid w:val="007F2F91"/>
    <w:pPr>
      <w:spacing w:before="100" w:beforeAutospacing="1" w:after="100" w:afterAutospacing="1"/>
      <w:outlineLvl w:val="3"/>
    </w:pPr>
    <w:rPr>
      <w:rFonts w:cs="Times New Roman"/>
      <w:b/>
      <w:bCs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22A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22A4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2A4D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722A4D"/>
    <w:pPr>
      <w:ind w:left="720"/>
      <w:contextualSpacing/>
    </w:pPr>
    <w:rPr>
      <w:rFonts w:eastAsia="Times New Roman" w:cs="Times New Roman"/>
    </w:rPr>
  </w:style>
  <w:style w:type="character" w:styleId="nfasisintenso">
    <w:name w:val="Intense Emphasis"/>
    <w:basedOn w:val="Fuentedeprrafopredeter"/>
    <w:uiPriority w:val="21"/>
    <w:qFormat/>
    <w:rsid w:val="00722A4D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982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ACA"/>
    <w:rPr>
      <w:rFonts w:ascii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2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ACA"/>
    <w:rPr>
      <w:rFonts w:ascii="Times New Roman" w:hAnsi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F2F91"/>
    <w:rPr>
      <w:rFonts w:ascii="Times New Roman" w:hAnsi="Times New Roman" w:cs="Times New Roman"/>
      <w:b/>
      <w:bCs/>
      <w:sz w:val="24"/>
      <w:szCs w:val="24"/>
      <w:lang w:val="es-ES_tradnl" w:eastAsia="ja-JP"/>
    </w:rPr>
  </w:style>
  <w:style w:type="character" w:customStyle="1" w:styleId="apple-converted-space">
    <w:name w:val="apple-converted-space"/>
    <w:basedOn w:val="Fuentedeprrafopredeter"/>
    <w:rsid w:val="007F2F91"/>
  </w:style>
  <w:style w:type="paragraph" w:styleId="NormalWeb">
    <w:name w:val="Normal (Web)"/>
    <w:basedOn w:val="Normal"/>
    <w:uiPriority w:val="99"/>
    <w:semiHidden/>
    <w:unhideWhenUsed/>
    <w:rsid w:val="007F2F91"/>
    <w:pPr>
      <w:spacing w:before="100" w:beforeAutospacing="1" w:after="100" w:afterAutospacing="1"/>
    </w:pPr>
    <w:rPr>
      <w:rFonts w:cs="Times New Roman"/>
      <w:lang w:val="es-ES_tradnl" w:eastAsia="ja-JP"/>
    </w:rPr>
  </w:style>
  <w:style w:type="character" w:customStyle="1" w:styleId="highlight">
    <w:name w:val="highlight"/>
    <w:basedOn w:val="Fuentedeprrafopredeter"/>
    <w:rsid w:val="007F2F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3329"/>
    <w:rPr>
      <w:rFonts w:ascii="Courier New" w:hAnsi="Courier New" w:cs="Courier New"/>
      <w:sz w:val="20"/>
      <w:szCs w:val="20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650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Ilzarbe Simorte</dc:creator>
  <cp:lastModifiedBy>Usuario de Microsoft Office</cp:lastModifiedBy>
  <cp:revision>19</cp:revision>
  <dcterms:created xsi:type="dcterms:W3CDTF">2017-02-08T17:43:00Z</dcterms:created>
  <dcterms:modified xsi:type="dcterms:W3CDTF">2017-09-24T13:46:00Z</dcterms:modified>
</cp:coreProperties>
</file>